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37" w:rsidRPr="009A416F" w:rsidRDefault="009A416F">
      <w:pPr>
        <w:rPr>
          <w:rFonts w:ascii="HG丸ｺﾞｼｯｸM-PRO" w:eastAsia="HG丸ｺﾞｼｯｸM-PRO" w:hAnsi="HG丸ｺﾞｼｯｸM-PRO"/>
          <w:b/>
          <w:sz w:val="28"/>
        </w:rPr>
      </w:pPr>
      <w:r w:rsidRPr="009A416F">
        <w:rPr>
          <w:rFonts w:ascii="HG丸ｺﾞｼｯｸM-PRO" w:eastAsia="HG丸ｺﾞｼｯｸM-PRO" w:hAnsi="HG丸ｺﾞｼｯｸM-PRO" w:hint="eastAsia"/>
          <w:b/>
          <w:sz w:val="28"/>
        </w:rPr>
        <w:t>院内がん登録について</w:t>
      </w:r>
    </w:p>
    <w:p w:rsidR="009A416F" w:rsidRPr="009A416F" w:rsidRDefault="009A416F">
      <w:pPr>
        <w:rPr>
          <w:rFonts w:ascii="HG丸ｺﾞｼｯｸM-PRO" w:eastAsia="HG丸ｺﾞｼｯｸM-PRO" w:hAnsi="HG丸ｺﾞｼｯｸM-PRO"/>
          <w:sz w:val="22"/>
        </w:rPr>
      </w:pPr>
      <w:r w:rsidRPr="009A416F">
        <w:rPr>
          <w:rFonts w:ascii="HG丸ｺﾞｼｯｸM-PRO" w:eastAsia="HG丸ｺﾞｼｯｸM-PRO" w:hAnsi="HG丸ｺﾞｼｯｸM-PRO" w:hint="eastAsia"/>
          <w:sz w:val="22"/>
        </w:rPr>
        <w:t xml:space="preserve">　院内がん登録とは、入院・外来を問わず、各病院で把握された全ての「がん</w:t>
      </w:r>
      <w:r w:rsidR="00231E55">
        <w:rPr>
          <w:rFonts w:ascii="HG丸ｺﾞｼｯｸM-PRO" w:eastAsia="HG丸ｺﾞｼｯｸM-PRO" w:hAnsi="HG丸ｺﾞｼｯｸM-PRO" w:hint="eastAsia"/>
          <w:sz w:val="22"/>
        </w:rPr>
        <w:t>（＝悪性腫瘍）</w:t>
      </w:r>
      <w:r w:rsidRPr="009A416F">
        <w:rPr>
          <w:rFonts w:ascii="HG丸ｺﾞｼｯｸM-PRO" w:eastAsia="HG丸ｺﾞｼｯｸM-PRO" w:hAnsi="HG丸ｺﾞｼｯｸM-PRO" w:hint="eastAsia"/>
          <w:sz w:val="22"/>
        </w:rPr>
        <w:t>」について、診断・治療・予後に関する情報を集め、整理・保管し、集計・分析を行う仕組みのことです。各施設で集められたデータは、統一された様式で、国立がん研究センターに定期的に提出しています。</w:t>
      </w:r>
    </w:p>
    <w:p w:rsidR="00066D1D" w:rsidRDefault="009A416F">
      <w:pPr>
        <w:rPr>
          <w:rFonts w:ascii="HG丸ｺﾞｼｯｸM-PRO" w:eastAsia="HG丸ｺﾞｼｯｸM-PRO" w:hAnsi="HG丸ｺﾞｼｯｸM-PRO"/>
          <w:sz w:val="22"/>
        </w:rPr>
      </w:pPr>
      <w:r w:rsidRPr="009A416F">
        <w:rPr>
          <w:rFonts w:ascii="HG丸ｺﾞｼｯｸM-PRO" w:eastAsia="HG丸ｺﾞｼｯｸM-PRO" w:hAnsi="HG丸ｺﾞｼｯｸM-PRO" w:hint="eastAsia"/>
          <w:sz w:val="22"/>
        </w:rPr>
        <w:t xml:space="preserve">　当院</w:t>
      </w:r>
      <w:r w:rsidR="00231E55">
        <w:rPr>
          <w:rFonts w:ascii="HG丸ｺﾞｼｯｸM-PRO" w:eastAsia="HG丸ｺﾞｼｯｸM-PRO" w:hAnsi="HG丸ｺﾞｼｯｸM-PRO" w:hint="eastAsia"/>
          <w:sz w:val="22"/>
        </w:rPr>
        <w:t>で</w:t>
      </w:r>
      <w:r w:rsidRPr="009A416F">
        <w:rPr>
          <w:rFonts w:ascii="HG丸ｺﾞｼｯｸM-PRO" w:eastAsia="HG丸ｺﾞｼｯｸM-PRO" w:hAnsi="HG丸ｺﾞｼｯｸM-PRO" w:hint="eastAsia"/>
          <w:sz w:val="22"/>
        </w:rPr>
        <w:t>は、</w:t>
      </w:r>
      <w:r w:rsidR="00066D1D">
        <w:rPr>
          <w:rFonts w:ascii="HG丸ｺﾞｼｯｸM-PRO" w:eastAsia="HG丸ｺﾞｼｯｸM-PRO" w:hAnsi="HG丸ｺﾞｼｯｸM-PRO" w:hint="eastAsia"/>
          <w:sz w:val="22"/>
        </w:rPr>
        <w:t>がん診療連携拠点病院の指定要件に則って、</w:t>
      </w:r>
      <w:r w:rsidRPr="009A416F">
        <w:rPr>
          <w:rFonts w:ascii="HG丸ｺﾞｼｯｸM-PRO" w:eastAsia="HG丸ｺﾞｼｯｸM-PRO" w:hAnsi="HG丸ｺﾞｼｯｸM-PRO" w:hint="eastAsia"/>
          <w:sz w:val="22"/>
        </w:rPr>
        <w:t>2007年1月1日以降に把握された「がん</w:t>
      </w:r>
      <w:r w:rsidR="00231E55">
        <w:rPr>
          <w:rFonts w:ascii="HG丸ｺﾞｼｯｸM-PRO" w:eastAsia="HG丸ｺﾞｼｯｸM-PRO" w:hAnsi="HG丸ｺﾞｼｯｸM-PRO" w:hint="eastAsia"/>
          <w:sz w:val="22"/>
        </w:rPr>
        <w:t>（＝悪性腫瘍）</w:t>
      </w:r>
      <w:r w:rsidRPr="009A416F">
        <w:rPr>
          <w:rFonts w:ascii="HG丸ｺﾞｼｯｸM-PRO" w:eastAsia="HG丸ｺﾞｼｯｸM-PRO" w:hAnsi="HG丸ｺﾞｼｯｸM-PRO" w:hint="eastAsia"/>
          <w:sz w:val="22"/>
        </w:rPr>
        <w:t>」を登録対象としており</w:t>
      </w:r>
      <w:r w:rsidR="00066D1D">
        <w:rPr>
          <w:rFonts w:ascii="HG丸ｺﾞｼｯｸM-PRO" w:eastAsia="HG丸ｺﾞｼｯｸM-PRO" w:hAnsi="HG丸ｺﾞｼｯｸM-PRO" w:hint="eastAsia"/>
          <w:sz w:val="22"/>
        </w:rPr>
        <w:t>ます。</w:t>
      </w:r>
      <w:r w:rsidR="00B84D33" w:rsidRPr="00B84D33">
        <w:rPr>
          <w:rFonts w:ascii="HG丸ｺﾞｼｯｸM-PRO" w:eastAsia="HG丸ｺﾞｼｯｸM-PRO" w:hAnsi="HG丸ｺﾞｼｯｸM-PRO" w:hint="eastAsia"/>
          <w:sz w:val="22"/>
        </w:rPr>
        <w:t>１</w:t>
      </w:r>
      <w:r w:rsidR="00B84D33">
        <w:rPr>
          <w:rFonts w:ascii="HG丸ｺﾞｼｯｸM-PRO" w:eastAsia="HG丸ｺﾞｼｯｸM-PRO" w:hAnsi="HG丸ｺﾞｼｯｸM-PRO" w:hint="eastAsia"/>
          <w:sz w:val="22"/>
        </w:rPr>
        <w:t>つの</w:t>
      </w:r>
      <w:r w:rsidR="00B84D33" w:rsidRPr="00B84D33">
        <w:rPr>
          <w:rFonts w:ascii="HG丸ｺﾞｼｯｸM-PRO" w:eastAsia="HG丸ｺﾞｼｯｸM-PRO" w:hAnsi="HG丸ｺﾞｼｯｸM-PRO" w:hint="eastAsia"/>
          <w:sz w:val="22"/>
        </w:rPr>
        <w:t>腫瘍</w:t>
      </w:r>
      <w:r w:rsidR="00B84D33">
        <w:rPr>
          <w:rFonts w:ascii="HG丸ｺﾞｼｯｸM-PRO" w:eastAsia="HG丸ｺﾞｼｯｸM-PRO" w:hAnsi="HG丸ｺﾞｼｯｸM-PRO" w:hint="eastAsia"/>
          <w:sz w:val="22"/>
        </w:rPr>
        <w:t>に対して</w:t>
      </w:r>
      <w:r w:rsidR="00B84D33" w:rsidRPr="00B84D33">
        <w:rPr>
          <w:rFonts w:ascii="HG丸ｺﾞｼｯｸM-PRO" w:eastAsia="HG丸ｺﾞｼｯｸM-PRO" w:hAnsi="HG丸ｺﾞｼｯｸM-PRO" w:hint="eastAsia"/>
          <w:sz w:val="22"/>
        </w:rPr>
        <w:t>１</w:t>
      </w:r>
      <w:r w:rsidR="00B84D33">
        <w:rPr>
          <w:rFonts w:ascii="HG丸ｺﾞｼｯｸM-PRO" w:eastAsia="HG丸ｺﾞｼｯｸM-PRO" w:hAnsi="HG丸ｺﾞｼｯｸM-PRO" w:hint="eastAsia"/>
          <w:sz w:val="22"/>
        </w:rPr>
        <w:t>例の登録</w:t>
      </w:r>
      <w:r w:rsidR="00066D1D">
        <w:rPr>
          <w:rFonts w:ascii="HG丸ｺﾞｼｯｸM-PRO" w:eastAsia="HG丸ｺﾞｼｯｸM-PRO" w:hAnsi="HG丸ｺﾞｼｯｸM-PRO" w:hint="eastAsia"/>
          <w:sz w:val="22"/>
        </w:rPr>
        <w:t>ですが、</w:t>
      </w:r>
      <w:r w:rsidR="00231E55">
        <w:rPr>
          <w:rFonts w:ascii="HG丸ｺﾞｼｯｸM-PRO" w:eastAsia="HG丸ｺﾞｼｯｸM-PRO" w:hAnsi="HG丸ｺﾞｼｯｸM-PRO" w:hint="eastAsia"/>
          <w:sz w:val="22"/>
        </w:rPr>
        <w:t>登録された腫瘍の再発や転移については、登録</w:t>
      </w:r>
      <w:r w:rsidR="00066D1D">
        <w:rPr>
          <w:rFonts w:ascii="HG丸ｺﾞｼｯｸM-PRO" w:eastAsia="HG丸ｺﾞｼｯｸM-PRO" w:hAnsi="HG丸ｺﾞｼｯｸM-PRO" w:hint="eastAsia"/>
          <w:sz w:val="22"/>
        </w:rPr>
        <w:t>対象とはなっておりません</w:t>
      </w:r>
      <w:r w:rsidR="00231E55">
        <w:rPr>
          <w:rFonts w:ascii="HG丸ｺﾞｼｯｸM-PRO" w:eastAsia="HG丸ｺﾞｼｯｸM-PRO" w:hAnsi="HG丸ｺﾞｼｯｸM-PRO" w:hint="eastAsia"/>
          <w:sz w:val="22"/>
        </w:rPr>
        <w:t>。また、</w:t>
      </w:r>
      <w:r w:rsidR="00B84D33" w:rsidRPr="00B84D33">
        <w:rPr>
          <w:rFonts w:ascii="HG丸ｺﾞｼｯｸM-PRO" w:eastAsia="HG丸ｺﾞｼｯｸM-PRO" w:hAnsi="HG丸ｺﾞｼｯｸM-PRO" w:hint="eastAsia"/>
          <w:sz w:val="22"/>
        </w:rPr>
        <w:t>脳腫瘍・下垂体</w:t>
      </w:r>
      <w:r w:rsidR="00B84D33">
        <w:rPr>
          <w:rFonts w:ascii="HG丸ｺﾞｼｯｸM-PRO" w:eastAsia="HG丸ｺﾞｼｯｸM-PRO" w:hAnsi="HG丸ｺﾞｼｯｸM-PRO" w:hint="eastAsia"/>
          <w:sz w:val="22"/>
        </w:rPr>
        <w:t>腫瘍・髄膜腫については、原則として、良性であっても登録対象としております</w:t>
      </w:r>
      <w:r w:rsidR="00B84D33" w:rsidRPr="00B84D33">
        <w:rPr>
          <w:rFonts w:ascii="HG丸ｺﾞｼｯｸM-PRO" w:eastAsia="HG丸ｺﾞｼｯｸM-PRO" w:hAnsi="HG丸ｺﾞｼｯｸM-PRO" w:hint="eastAsia"/>
          <w:sz w:val="22"/>
        </w:rPr>
        <w:t>。</w:t>
      </w:r>
      <w:r w:rsidR="00066D1D">
        <w:rPr>
          <w:rFonts w:ascii="HG丸ｺﾞｼｯｸM-PRO" w:eastAsia="HG丸ｺﾞｼｯｸM-PRO" w:hAnsi="HG丸ｺﾞｼｯｸM-PRO" w:hint="eastAsia"/>
          <w:sz w:val="22"/>
        </w:rPr>
        <w:t>さらに、セカンドオピニオンについても、登録対象としております。</w:t>
      </w:r>
    </w:p>
    <w:p w:rsidR="00231E55" w:rsidRDefault="00231E55">
      <w:pPr>
        <w:rPr>
          <w:rFonts w:ascii="HG丸ｺﾞｼｯｸM-PRO" w:eastAsia="HG丸ｺﾞｼｯｸM-PRO" w:hAnsi="HG丸ｺﾞｼｯｸM-PRO"/>
          <w:sz w:val="22"/>
        </w:rPr>
      </w:pPr>
    </w:p>
    <w:p w:rsidR="00231E55" w:rsidRDefault="00231E55">
      <w:pPr>
        <w:rPr>
          <w:rFonts w:ascii="HG丸ｺﾞｼｯｸM-PRO" w:eastAsia="HG丸ｺﾞｼｯｸM-PRO" w:hAnsi="HG丸ｺﾞｼｯｸM-PRO"/>
          <w:sz w:val="22"/>
        </w:rPr>
      </w:pPr>
    </w:p>
    <w:p w:rsidR="00066D1D" w:rsidRDefault="00066D1D">
      <w:pPr>
        <w:rPr>
          <w:rFonts w:ascii="HG丸ｺﾞｼｯｸM-PRO" w:eastAsia="HG丸ｺﾞｼｯｸM-PRO" w:hAnsi="HG丸ｺﾞｼｯｸM-PRO"/>
          <w:sz w:val="22"/>
        </w:rPr>
      </w:pPr>
    </w:p>
    <w:p w:rsidR="00231E55" w:rsidRDefault="00231E55">
      <w:pPr>
        <w:rPr>
          <w:rFonts w:ascii="HG丸ｺﾞｼｯｸM-PRO" w:eastAsia="HG丸ｺﾞｼｯｸM-PRO" w:hAnsi="HG丸ｺﾞｼｯｸM-PRO"/>
          <w:sz w:val="22"/>
        </w:rPr>
      </w:pPr>
    </w:p>
    <w:p w:rsidR="001E5206" w:rsidRDefault="001E520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以下に、当院の院内がん登録のデータを公開いたします。</w:t>
      </w:r>
    </w:p>
    <w:p w:rsidR="001E5206" w:rsidRDefault="001E5206">
      <w:pPr>
        <w:rPr>
          <w:rFonts w:ascii="HG丸ｺﾞｼｯｸM-PRO" w:eastAsia="HG丸ｺﾞｼｯｸM-PRO" w:hAnsi="HG丸ｺﾞｼｯｸM-PRO"/>
          <w:sz w:val="22"/>
        </w:rPr>
      </w:pPr>
    </w:p>
    <w:p w:rsidR="00231E55" w:rsidRDefault="00231E55">
      <w:pPr>
        <w:rPr>
          <w:rFonts w:ascii="HG丸ｺﾞｼｯｸM-PRO" w:eastAsia="HG丸ｺﾞｼｯｸM-PRO" w:hAnsi="HG丸ｺﾞｼｯｸM-PRO"/>
          <w:sz w:val="22"/>
        </w:rPr>
      </w:pPr>
    </w:p>
    <w:p w:rsidR="001E5206" w:rsidRPr="001E5206" w:rsidRDefault="001E5206">
      <w:pPr>
        <w:rPr>
          <w:rFonts w:ascii="HG丸ｺﾞｼｯｸM-PRO" w:eastAsia="HG丸ｺﾞｼｯｸM-PRO" w:hAnsi="HG丸ｺﾞｼｯｸM-PRO"/>
          <w:b/>
          <w:sz w:val="24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t>グラフ①　院内がん登録</w:t>
      </w:r>
      <w:r w:rsidR="009436D1">
        <w:rPr>
          <w:rFonts w:ascii="HG丸ｺﾞｼｯｸM-PRO" w:eastAsia="HG丸ｺﾞｼｯｸM-PRO" w:hAnsi="HG丸ｺﾞｼｯｸM-PRO" w:hint="eastAsia"/>
          <w:b/>
          <w:sz w:val="24"/>
        </w:rPr>
        <w:t>総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>件数の推移</w:t>
      </w:r>
    </w:p>
    <w:p w:rsidR="001E5206" w:rsidRDefault="001E5206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inline distT="0" distB="0" distL="0" distR="0" wp14:anchorId="514AABAD" wp14:editId="00F21E74">
            <wp:extent cx="5400675" cy="3600450"/>
            <wp:effectExtent l="0" t="0" r="9525" b="1905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436D1" w:rsidRPr="009436D1" w:rsidRDefault="007824B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以下</w:t>
      </w:r>
      <w:r w:rsidR="009436D1">
        <w:rPr>
          <w:rFonts w:ascii="HG丸ｺﾞｼｯｸM-PRO" w:eastAsia="HG丸ｺﾞｼｯｸM-PRO" w:hAnsi="HG丸ｺﾞｼｯｸM-PRO" w:hint="eastAsia"/>
          <w:sz w:val="22"/>
        </w:rPr>
        <w:t>は、</w:t>
      </w:r>
      <w:r w:rsidRPr="00AF3282">
        <w:rPr>
          <w:rFonts w:ascii="HG丸ｺﾞｼｯｸM-PRO" w:eastAsia="HG丸ｺﾞｼｯｸM-PRO" w:hAnsi="HG丸ｺﾞｼｯｸM-PRO" w:hint="eastAsia"/>
          <w:b/>
          <w:sz w:val="22"/>
        </w:rPr>
        <w:t>2012年症例</w:t>
      </w:r>
      <w:r>
        <w:rPr>
          <w:rFonts w:ascii="HG丸ｺﾞｼｯｸM-PRO" w:eastAsia="HG丸ｺﾞｼｯｸM-PRO" w:hAnsi="HG丸ｺﾞｼｯｸM-PRO" w:hint="eastAsia"/>
          <w:sz w:val="22"/>
        </w:rPr>
        <w:t>のうち</w:t>
      </w:r>
      <w:r w:rsidR="009436D1" w:rsidRPr="009436D1">
        <w:rPr>
          <w:rFonts w:ascii="HG丸ｺﾞｼｯｸM-PRO" w:eastAsia="HG丸ｺﾞｼｯｸM-PRO" w:hAnsi="HG丸ｺﾞｼｯｸM-PRO" w:hint="eastAsia"/>
          <w:sz w:val="22"/>
        </w:rPr>
        <w:t>当院にて初回治療を行った</w:t>
      </w:r>
      <w:r w:rsidR="009436D1" w:rsidRPr="00AF3282">
        <w:rPr>
          <w:rFonts w:ascii="HG丸ｺﾞｼｯｸM-PRO" w:eastAsia="HG丸ｺﾞｼｯｸM-PRO" w:hAnsi="HG丸ｺﾞｼｯｸM-PRO" w:hint="eastAsia"/>
          <w:b/>
          <w:sz w:val="22"/>
        </w:rPr>
        <w:t>1544</w:t>
      </w:r>
      <w:r w:rsidRPr="00AF3282">
        <w:rPr>
          <w:rFonts w:ascii="HG丸ｺﾞｼｯｸM-PRO" w:eastAsia="HG丸ｺﾞｼｯｸM-PRO" w:hAnsi="HG丸ｺﾞｼｯｸM-PRO" w:hint="eastAsia"/>
          <w:b/>
          <w:sz w:val="22"/>
        </w:rPr>
        <w:t>件</w:t>
      </w:r>
      <w:r>
        <w:rPr>
          <w:rFonts w:ascii="HG丸ｺﾞｼｯｸM-PRO" w:eastAsia="HG丸ｺﾞｼｯｸM-PRO" w:hAnsi="HG丸ｺﾞｼｯｸM-PRO" w:hint="eastAsia"/>
          <w:sz w:val="22"/>
        </w:rPr>
        <w:t>を分析</w:t>
      </w:r>
      <w:r w:rsidR="009436D1">
        <w:rPr>
          <w:rFonts w:ascii="HG丸ｺﾞｼｯｸM-PRO" w:eastAsia="HG丸ｺﾞｼｯｸM-PRO" w:hAnsi="HG丸ｺﾞｼｯｸM-PRO" w:hint="eastAsia"/>
          <w:sz w:val="22"/>
        </w:rPr>
        <w:t>しています。</w:t>
      </w:r>
    </w:p>
    <w:p w:rsidR="007824BA" w:rsidRDefault="007824BA">
      <w:pPr>
        <w:rPr>
          <w:rFonts w:ascii="HG丸ｺﾞｼｯｸM-PRO" w:eastAsia="HG丸ｺﾞｼｯｸM-PRO" w:hAnsi="HG丸ｺﾞｼｯｸM-PRO"/>
          <w:b/>
          <w:sz w:val="24"/>
        </w:rPr>
      </w:pPr>
    </w:p>
    <w:p w:rsidR="00231E55" w:rsidRDefault="00231E55">
      <w:pPr>
        <w:rPr>
          <w:rFonts w:ascii="HG丸ｺﾞｼｯｸM-PRO" w:eastAsia="HG丸ｺﾞｼｯｸM-PRO" w:hAnsi="HG丸ｺﾞｼｯｸM-PRO"/>
          <w:b/>
          <w:sz w:val="24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t>グラフ</w:t>
      </w:r>
      <w:r>
        <w:rPr>
          <w:rFonts w:ascii="HG丸ｺﾞｼｯｸM-PRO" w:eastAsia="HG丸ｺﾞｼｯｸM-PRO" w:hAnsi="HG丸ｺﾞｼｯｸM-PRO" w:hint="eastAsia"/>
          <w:b/>
          <w:sz w:val="24"/>
        </w:rPr>
        <w:t>②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066D1D">
        <w:rPr>
          <w:rFonts w:ascii="HG丸ｺﾞｼｯｸM-PRO" w:eastAsia="HG丸ｺﾞｼｯｸM-PRO" w:hAnsi="HG丸ｺﾞｼｯｸM-PRO" w:hint="eastAsia"/>
          <w:b/>
          <w:sz w:val="24"/>
        </w:rPr>
        <w:t>年齢層・性別件数</w:t>
      </w:r>
    </w:p>
    <w:p w:rsidR="00066D1D" w:rsidRDefault="00066D1D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</w:rPr>
        <w:drawing>
          <wp:inline distT="0" distB="0" distL="0" distR="0" wp14:anchorId="0217D0A0" wp14:editId="66AB4517">
            <wp:extent cx="5400675" cy="3381375"/>
            <wp:effectExtent l="0" t="0" r="9525" b="9525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6D1D" w:rsidRPr="00066D1D" w:rsidRDefault="00066D1D" w:rsidP="00066D1D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※総数では男性が多いですが、59歳以下に関しては、女性が多いようです。</w:t>
      </w:r>
    </w:p>
    <w:p w:rsidR="00066D1D" w:rsidRPr="00066D1D" w:rsidRDefault="00066D1D">
      <w:pPr>
        <w:rPr>
          <w:rFonts w:ascii="HG丸ｺﾞｼｯｸM-PRO" w:eastAsia="HG丸ｺﾞｼｯｸM-PRO" w:hAnsi="HG丸ｺﾞｼｯｸM-PRO"/>
          <w:sz w:val="22"/>
        </w:rPr>
      </w:pPr>
    </w:p>
    <w:p w:rsidR="00066D1D" w:rsidRDefault="00066D1D">
      <w:pPr>
        <w:rPr>
          <w:rFonts w:ascii="HG丸ｺﾞｼｯｸM-PRO" w:eastAsia="HG丸ｺﾞｼｯｸM-PRO" w:hAnsi="HG丸ｺﾞｼｯｸM-PRO"/>
          <w:sz w:val="22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t>グラフ</w:t>
      </w:r>
      <w:r>
        <w:rPr>
          <w:rFonts w:ascii="HG丸ｺﾞｼｯｸM-PRO" w:eastAsia="HG丸ｺﾞｼｯｸM-PRO" w:hAnsi="HG丸ｺﾞｼｯｸM-PRO" w:hint="eastAsia"/>
          <w:b/>
          <w:sz w:val="24"/>
        </w:rPr>
        <w:t>③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患者居住地割合</w:t>
      </w:r>
    </w:p>
    <w:p w:rsidR="00066D1D" w:rsidRDefault="009436D1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inline distT="0" distB="0" distL="0" distR="0" wp14:anchorId="1448E525" wp14:editId="3FE6D551">
            <wp:extent cx="5400675" cy="2876550"/>
            <wp:effectExtent l="0" t="0" r="9525" b="19050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436D1" w:rsidRDefault="009436D1" w:rsidP="007A32A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4F3012">
        <w:rPr>
          <w:rFonts w:ascii="HG丸ｺﾞｼｯｸM-PRO" w:eastAsia="HG丸ｺﾞｼｯｸM-PRO" w:hAnsi="HG丸ｺﾞｼｯｸM-PRO" w:hint="eastAsia"/>
          <w:sz w:val="22"/>
        </w:rPr>
        <w:t>八幡西区だけでなく、若松区・遠賀郡</w:t>
      </w:r>
      <w:r w:rsidR="007A32A0">
        <w:rPr>
          <w:rFonts w:ascii="HG丸ｺﾞｼｯｸM-PRO" w:eastAsia="HG丸ｺﾞｼｯｸM-PRO" w:hAnsi="HG丸ｺﾞｼｯｸM-PRO" w:hint="eastAsia"/>
          <w:sz w:val="22"/>
        </w:rPr>
        <w:t>や他の地域</w:t>
      </w:r>
      <w:r w:rsidR="004F3012">
        <w:rPr>
          <w:rFonts w:ascii="HG丸ｺﾞｼｯｸM-PRO" w:eastAsia="HG丸ｺﾞｼｯｸM-PRO" w:hAnsi="HG丸ｺﾞｼｯｸM-PRO" w:hint="eastAsia"/>
          <w:sz w:val="22"/>
        </w:rPr>
        <w:t>からも多数の患者さんが受診されています。</w:t>
      </w:r>
    </w:p>
    <w:p w:rsidR="009436D1" w:rsidRDefault="004F3012">
      <w:pPr>
        <w:rPr>
          <w:rFonts w:ascii="HG丸ｺﾞｼｯｸM-PRO" w:eastAsia="HG丸ｺﾞｼｯｸM-PRO" w:hAnsi="HG丸ｺﾞｼｯｸM-PRO"/>
          <w:sz w:val="22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グラフ</w:t>
      </w:r>
      <w:r w:rsidR="00E75953">
        <w:rPr>
          <w:rFonts w:ascii="HG丸ｺﾞｼｯｸM-PRO" w:eastAsia="HG丸ｺﾞｼｯｸM-PRO" w:hAnsi="HG丸ｺﾞｼｯｸM-PRO" w:hint="eastAsia"/>
          <w:b/>
          <w:sz w:val="24"/>
        </w:rPr>
        <w:t>④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部位別割合</w:t>
      </w:r>
    </w:p>
    <w:p w:rsidR="004F3012" w:rsidRDefault="004F3012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inline distT="0" distB="0" distL="0" distR="0" wp14:anchorId="353C830B" wp14:editId="494626CA">
            <wp:extent cx="5400675" cy="3590925"/>
            <wp:effectExtent l="0" t="0" r="9525" b="9525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F3012" w:rsidRDefault="007A32A0" w:rsidP="008C69D3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※肺がんが最も多いですが、様々な種類のがん患者さんを診療して</w:t>
      </w:r>
      <w:r w:rsidR="008C69D3">
        <w:rPr>
          <w:rFonts w:ascii="HG丸ｺﾞｼｯｸM-PRO" w:eastAsia="HG丸ｺﾞｼｯｸM-PRO" w:hAnsi="HG丸ｺﾞｼｯｸM-PRO" w:hint="eastAsia"/>
          <w:sz w:val="22"/>
        </w:rPr>
        <w:t>おります。</w:t>
      </w:r>
    </w:p>
    <w:p w:rsidR="004F3012" w:rsidRDefault="004F3012">
      <w:pPr>
        <w:rPr>
          <w:rFonts w:ascii="HG丸ｺﾞｼｯｸM-PRO" w:eastAsia="HG丸ｺﾞｼｯｸM-PRO" w:hAnsi="HG丸ｺﾞｼｯｸM-PRO"/>
          <w:sz w:val="22"/>
        </w:rPr>
      </w:pPr>
    </w:p>
    <w:p w:rsidR="008C69D3" w:rsidRDefault="008C69D3" w:rsidP="008C69D3">
      <w:pPr>
        <w:rPr>
          <w:rFonts w:ascii="HG丸ｺﾞｼｯｸM-PRO" w:eastAsia="HG丸ｺﾞｼｯｸM-PRO" w:hAnsi="HG丸ｺﾞｼｯｸM-PRO"/>
          <w:sz w:val="22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t>グラフ</w:t>
      </w:r>
      <w:r w:rsidR="00E75953">
        <w:rPr>
          <w:rFonts w:ascii="HG丸ｺﾞｼｯｸM-PRO" w:eastAsia="HG丸ｺﾞｼｯｸM-PRO" w:hAnsi="HG丸ｺﾞｼｯｸM-PRO" w:hint="eastAsia"/>
          <w:b/>
          <w:sz w:val="24"/>
        </w:rPr>
        <w:t>⑤-1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当院を受診する</w:t>
      </w:r>
      <w:r w:rsidR="00E75953">
        <w:rPr>
          <w:rFonts w:ascii="HG丸ｺﾞｼｯｸM-PRO" w:eastAsia="HG丸ｺﾞｼｯｸM-PRO" w:hAnsi="HG丸ｺﾞｼｯｸM-PRO" w:hint="eastAsia"/>
          <w:b/>
          <w:sz w:val="24"/>
        </w:rPr>
        <w:t>に至った</w:t>
      </w:r>
      <w:r>
        <w:rPr>
          <w:rFonts w:ascii="HG丸ｺﾞｼｯｸM-PRO" w:eastAsia="HG丸ｺﾞｼｯｸM-PRO" w:hAnsi="HG丸ｺﾞｼｯｸM-PRO" w:hint="eastAsia"/>
          <w:b/>
          <w:sz w:val="24"/>
        </w:rPr>
        <w:t>経緯の件数・割合</w:t>
      </w:r>
    </w:p>
    <w:p w:rsidR="008C69D3" w:rsidRDefault="008C69D3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inline distT="0" distB="0" distL="0" distR="0" wp14:anchorId="0010FAA9" wp14:editId="39416F41">
            <wp:extent cx="5400675" cy="1514475"/>
            <wp:effectExtent l="0" t="0" r="9525" b="9525"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69D3" w:rsidRPr="008C69D3" w:rsidRDefault="008C69D3">
      <w:pPr>
        <w:rPr>
          <w:rFonts w:ascii="HG丸ｺﾞｼｯｸM-PRO" w:eastAsia="HG丸ｺﾞｼｯｸM-PRO" w:hAnsi="HG丸ｺﾞｼｯｸM-PRO"/>
          <w:sz w:val="22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t>グラフ</w:t>
      </w:r>
      <w:r>
        <w:rPr>
          <w:rFonts w:ascii="HG丸ｺﾞｼｯｸM-PRO" w:eastAsia="HG丸ｺﾞｼｯｸM-PRO" w:hAnsi="HG丸ｺﾞｼｯｸM-PRO" w:hint="eastAsia"/>
          <w:b/>
          <w:sz w:val="24"/>
        </w:rPr>
        <w:t>⑤</w:t>
      </w:r>
      <w:r w:rsidR="00E75953">
        <w:rPr>
          <w:rFonts w:ascii="HG丸ｺﾞｼｯｸM-PRO" w:eastAsia="HG丸ｺﾞｼｯｸM-PRO" w:hAnsi="HG丸ｺﾞｼｯｸM-PRO" w:hint="eastAsia"/>
          <w:b/>
          <w:sz w:val="24"/>
        </w:rPr>
        <w:t>-2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E75953">
        <w:rPr>
          <w:rFonts w:ascii="HG丸ｺﾞｼｯｸM-PRO" w:eastAsia="HG丸ｺﾞｼｯｸM-PRO" w:hAnsi="HG丸ｺﾞｼｯｸM-PRO" w:hint="eastAsia"/>
          <w:b/>
          <w:sz w:val="24"/>
        </w:rPr>
        <w:t>がんを発見するに至った動機</w:t>
      </w:r>
      <w:r>
        <w:rPr>
          <w:rFonts w:ascii="HG丸ｺﾞｼｯｸM-PRO" w:eastAsia="HG丸ｺﾞｼｯｸM-PRO" w:hAnsi="HG丸ｺﾞｼｯｸM-PRO" w:hint="eastAsia"/>
          <w:b/>
          <w:sz w:val="24"/>
        </w:rPr>
        <w:t>の件数・割合</w:t>
      </w:r>
    </w:p>
    <w:p w:rsidR="008C69D3" w:rsidRDefault="008C69D3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inline distT="0" distB="0" distL="0" distR="0" wp14:anchorId="3CC1ED0B" wp14:editId="468D5DAF">
            <wp:extent cx="5400675" cy="1323975"/>
            <wp:effectExtent l="0" t="0" r="9525" b="9525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32A0" w:rsidRDefault="007A32A0" w:rsidP="007A32A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※自覚症状があってがんが見つかり</w:t>
      </w:r>
      <w:r w:rsidR="00E75953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かかりつけ医や近くの病院からの</w:t>
      </w:r>
      <w:r w:rsidR="00E75953">
        <w:rPr>
          <w:rFonts w:ascii="HG丸ｺﾞｼｯｸM-PRO" w:eastAsia="HG丸ｺﾞｼｯｸM-PRO" w:hAnsi="HG丸ｺﾞｼｯｸM-PRO" w:hint="eastAsia"/>
          <w:sz w:val="22"/>
        </w:rPr>
        <w:t>紹介で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E75953">
        <w:rPr>
          <w:rFonts w:ascii="HG丸ｺﾞｼｯｸM-PRO" w:eastAsia="HG丸ｺﾞｼｯｸM-PRO" w:hAnsi="HG丸ｺﾞｼｯｸM-PRO" w:hint="eastAsia"/>
          <w:sz w:val="22"/>
        </w:rPr>
        <w:t>当院を受診された方が多いようです。</w:t>
      </w:r>
    </w:p>
    <w:p w:rsidR="008C69D3" w:rsidRDefault="00E75953">
      <w:pPr>
        <w:rPr>
          <w:rFonts w:ascii="HG丸ｺﾞｼｯｸM-PRO" w:eastAsia="HG丸ｺﾞｼｯｸM-PRO" w:hAnsi="HG丸ｺﾞｼｯｸM-PRO"/>
          <w:b/>
          <w:sz w:val="24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t>グラフ</w:t>
      </w:r>
      <w:r>
        <w:rPr>
          <w:rFonts w:ascii="HG丸ｺﾞｼｯｸM-PRO" w:eastAsia="HG丸ｺﾞｼｯｸM-PRO" w:hAnsi="HG丸ｺﾞｼｯｸM-PRO" w:hint="eastAsia"/>
          <w:b/>
          <w:sz w:val="24"/>
        </w:rPr>
        <w:t>⑥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主な部位の診断時のステージ割合</w:t>
      </w:r>
      <w:r w:rsidR="007A32A0" w:rsidRPr="007A32A0">
        <w:rPr>
          <w:rFonts w:ascii="HG丸ｺﾞｼｯｸM-PRO" w:eastAsia="HG丸ｺﾞｼｯｸM-PRO" w:hAnsi="HG丸ｺﾞｼｯｸM-PRO" w:hint="eastAsia"/>
          <w:b/>
          <w:sz w:val="18"/>
        </w:rPr>
        <w:t>（</w:t>
      </w:r>
      <w:r w:rsidR="007A32A0">
        <w:rPr>
          <w:rFonts w:ascii="HG丸ｺﾞｼｯｸM-PRO" w:eastAsia="HG丸ｺﾞｼｯｸM-PRO" w:hAnsi="HG丸ｺﾞｼｯｸM-PRO" w:hint="eastAsia"/>
          <w:b/>
          <w:sz w:val="18"/>
        </w:rPr>
        <w:t>血液がん</w:t>
      </w:r>
      <w:r w:rsidR="007A32A0" w:rsidRPr="007A32A0">
        <w:rPr>
          <w:rFonts w:ascii="HG丸ｺﾞｼｯｸM-PRO" w:eastAsia="HG丸ｺﾞｼｯｸM-PRO" w:hAnsi="HG丸ｺﾞｼｯｸM-PRO" w:hint="eastAsia"/>
          <w:b/>
          <w:sz w:val="18"/>
        </w:rPr>
        <w:t>・リンパ腫と脳腫瘍は除く）</w:t>
      </w:r>
    </w:p>
    <w:p w:rsidR="00E75953" w:rsidRDefault="00E75953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inline distT="0" distB="0" distL="0" distR="0" wp14:anchorId="62515509" wp14:editId="6538280A">
            <wp:extent cx="5400675" cy="5467350"/>
            <wp:effectExtent l="0" t="0" r="9525" b="19050"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05159" w:rsidRDefault="00005159">
      <w:pPr>
        <w:rPr>
          <w:rFonts w:ascii="HG丸ｺﾞｼｯｸM-PRO" w:eastAsia="HG丸ｺﾞｼｯｸM-PRO" w:hAnsi="HG丸ｺﾞｼｯｸM-PRO"/>
          <w:sz w:val="22"/>
        </w:rPr>
      </w:pPr>
    </w:p>
    <w:p w:rsidR="001970B7" w:rsidRPr="001970B7" w:rsidRDefault="001970B7">
      <w:pPr>
        <w:rPr>
          <w:rFonts w:ascii="HG丸ｺﾞｼｯｸM-PRO" w:eastAsia="HG丸ｺﾞｼｯｸM-PRO" w:hAnsi="HG丸ｺﾞｼｯｸM-PRO"/>
          <w:b/>
          <w:sz w:val="24"/>
        </w:rPr>
      </w:pPr>
      <w:r w:rsidRPr="001E5206">
        <w:rPr>
          <w:rFonts w:ascii="HG丸ｺﾞｼｯｸM-PRO" w:eastAsia="HG丸ｺﾞｼｯｸM-PRO" w:hAnsi="HG丸ｺﾞｼｯｸM-PRO" w:hint="eastAsia"/>
          <w:b/>
          <w:sz w:val="24"/>
        </w:rPr>
        <w:t>グラフ</w:t>
      </w:r>
      <w:r w:rsidR="00525606">
        <w:rPr>
          <w:rFonts w:ascii="HG丸ｺﾞｼｯｸM-PRO" w:eastAsia="HG丸ｺﾞｼｯｸM-PRO" w:hAnsi="HG丸ｺﾞｼｯｸM-PRO" w:hint="eastAsia"/>
          <w:b/>
          <w:sz w:val="24"/>
        </w:rPr>
        <w:t>⑦</w:t>
      </w:r>
      <w:r w:rsidRPr="001E5206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治療内容割合</w:t>
      </w:r>
    </w:p>
    <w:p w:rsidR="00E75953" w:rsidRDefault="001970B7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inline distT="0" distB="0" distL="0" distR="0" wp14:anchorId="2DC8083B" wp14:editId="421DE523">
            <wp:extent cx="5400675" cy="1524000"/>
            <wp:effectExtent l="0" t="0" r="9525" b="19050"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1970B7" w:rsidRPr="004F3012" w:rsidRDefault="00005159" w:rsidP="007A32A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※症状や</w:t>
      </w:r>
      <w:r w:rsidR="007A32A0">
        <w:rPr>
          <w:rFonts w:ascii="HG丸ｺﾞｼｯｸM-PRO" w:eastAsia="HG丸ｺﾞｼｯｸM-PRO" w:hAnsi="HG丸ｺﾞｼｯｸM-PRO" w:hint="eastAsia"/>
          <w:sz w:val="22"/>
        </w:rPr>
        <w:t>がんの種類、進行の程度</w:t>
      </w:r>
      <w:r>
        <w:rPr>
          <w:rFonts w:ascii="HG丸ｺﾞｼｯｸM-PRO" w:eastAsia="HG丸ｺﾞｼｯｸM-PRO" w:hAnsi="HG丸ｺﾞｼｯｸM-PRO" w:hint="eastAsia"/>
          <w:sz w:val="22"/>
        </w:rPr>
        <w:t>に合わせて、様々な治療法</w:t>
      </w:r>
      <w:r w:rsidR="007A32A0">
        <w:rPr>
          <w:rFonts w:ascii="HG丸ｺﾞｼｯｸM-PRO" w:eastAsia="HG丸ｺﾞｼｯｸM-PRO" w:hAnsi="HG丸ｺﾞｼｯｸM-PRO" w:hint="eastAsia"/>
          <w:sz w:val="22"/>
        </w:rPr>
        <w:t>適切に組み合わせて行って</w:t>
      </w:r>
      <w:r>
        <w:rPr>
          <w:rFonts w:ascii="HG丸ｺﾞｼｯｸM-PRO" w:eastAsia="HG丸ｺﾞｼｯｸM-PRO" w:hAnsi="HG丸ｺﾞｼｯｸM-PRO" w:hint="eastAsia"/>
          <w:sz w:val="22"/>
        </w:rPr>
        <w:t>おります。</w:t>
      </w:r>
    </w:p>
    <w:sectPr w:rsidR="001970B7" w:rsidRPr="004F3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6F"/>
    <w:rsid w:val="00005159"/>
    <w:rsid w:val="00066D1D"/>
    <w:rsid w:val="001970B7"/>
    <w:rsid w:val="001E5206"/>
    <w:rsid w:val="00231E55"/>
    <w:rsid w:val="002E2EB4"/>
    <w:rsid w:val="004F3012"/>
    <w:rsid w:val="00525606"/>
    <w:rsid w:val="00650378"/>
    <w:rsid w:val="007824BA"/>
    <w:rsid w:val="007A32A0"/>
    <w:rsid w:val="008C69D3"/>
    <w:rsid w:val="009436D1"/>
    <w:rsid w:val="009A416F"/>
    <w:rsid w:val="00AA7EC4"/>
    <w:rsid w:val="00AF3282"/>
    <w:rsid w:val="00B84D33"/>
    <w:rsid w:val="00CF7837"/>
    <w:rsid w:val="00E7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520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E52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520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E52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2pub03\UserData$\kazu-k\&#12487;&#12473;&#12463;&#12488;&#12483;&#12503;\&#38498;&#20869;&#12364;&#12435;&#30331;&#37682;2012&#24180;&#30331;&#37682;&#30151;&#20363;&#12487;&#12540;&#1247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2pub03\UserData$\kazu-k\&#12487;&#12473;&#12463;&#12488;&#12483;&#12503;\&#38498;&#20869;&#12364;&#12435;&#30331;&#37682;2012&#24180;&#30331;&#37682;&#30151;&#20363;&#12487;&#12540;&#12479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2pub03\UserData$\kazu-k\&#12487;&#12473;&#12463;&#12488;&#12483;&#12503;\&#38498;&#20869;&#12364;&#12435;&#30331;&#37682;2012&#24180;&#30331;&#37682;&#30151;&#20363;&#12487;&#12540;&#12479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2pub03\UserData$\kazu-k\&#12487;&#12473;&#12463;&#12488;&#12483;&#12503;\&#38498;&#20869;&#12364;&#12435;&#30331;&#37682;2012&#24180;&#30331;&#37682;&#30151;&#20363;&#12487;&#12540;&#12479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2pub03\UserData$\kazu-k\&#12487;&#12473;&#12463;&#12488;&#12483;&#12503;\&#38498;&#20869;&#12364;&#12435;&#30331;&#37682;2012&#24180;&#30331;&#37682;&#30151;&#20363;&#12487;&#12540;&#12479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2pub03\UserData$\kazu-k\&#12487;&#12473;&#12463;&#12488;&#12483;&#12503;\&#38498;&#20869;&#12364;&#12435;&#30331;&#37682;2012&#24180;&#30331;&#37682;&#30151;&#20363;&#12487;&#12540;&#12479;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2pub03\UserData$\kazu-k\&#12487;&#12473;&#12463;&#12488;&#12483;&#12503;\&#38498;&#20869;&#12364;&#12435;&#30331;&#37682;2012&#24180;&#30331;&#37682;&#30151;&#20363;&#12487;&#12540;&#12479;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2014&#23398;&#20250;&#29992;\all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770049577136198E-2"/>
          <c:y val="5.5173865978617079E-2"/>
          <c:w val="0.80991950080314035"/>
          <c:h val="0.86742675980177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Sheet2!$B$29</c:f>
              <c:strCache>
                <c:ptCount val="1"/>
                <c:pt idx="0">
                  <c:v>件数</c:v>
                </c:pt>
              </c:strCache>
            </c:strRef>
          </c:tx>
          <c:invertIfNegative val="0"/>
          <c:cat>
            <c:strRef>
              <c:f>Sheet2!$A$30:$A$35</c:f>
              <c:strCache>
                <c:ptCount val="6"/>
                <c:pt idx="0">
                  <c:v>2007年</c:v>
                </c:pt>
                <c:pt idx="1">
                  <c:v>2008年</c:v>
                </c:pt>
                <c:pt idx="2">
                  <c:v>2009年</c:v>
                </c:pt>
                <c:pt idx="3">
                  <c:v>2010年</c:v>
                </c:pt>
                <c:pt idx="4">
                  <c:v>2011年</c:v>
                </c:pt>
                <c:pt idx="5">
                  <c:v>2012年</c:v>
                </c:pt>
              </c:strCache>
            </c:strRef>
          </c:cat>
          <c:val>
            <c:numRef>
              <c:f>Sheet2!$B$30:$B$35</c:f>
              <c:numCache>
                <c:formatCode>General</c:formatCode>
                <c:ptCount val="6"/>
                <c:pt idx="0">
                  <c:v>1874</c:v>
                </c:pt>
                <c:pt idx="1">
                  <c:v>1817</c:v>
                </c:pt>
                <c:pt idx="2">
                  <c:v>1765</c:v>
                </c:pt>
                <c:pt idx="3">
                  <c:v>1769</c:v>
                </c:pt>
                <c:pt idx="4">
                  <c:v>1798</c:v>
                </c:pt>
                <c:pt idx="5">
                  <c:v>1894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297600"/>
        <c:axId val="69214592"/>
      </c:barChart>
      <c:catAx>
        <c:axId val="12829760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HG丸ｺﾞｼｯｸM-PRO" panose="020F0600000000000000" pitchFamily="50" charset="-128"/>
                <a:ea typeface="HG丸ｺﾞｼｯｸM-PRO" panose="020F0600000000000000" pitchFamily="50" charset="-128"/>
              </a:defRPr>
            </a:pPr>
            <a:endParaRPr lang="ja-JP"/>
          </a:p>
        </c:txPr>
        <c:crossAx val="69214592"/>
        <c:crosses val="autoZero"/>
        <c:auto val="1"/>
        <c:lblAlgn val="ctr"/>
        <c:lblOffset val="100"/>
        <c:noMultiLvlLbl val="0"/>
      </c:catAx>
      <c:valAx>
        <c:axId val="69214592"/>
        <c:scaling>
          <c:orientation val="minMax"/>
          <c:max val="2000"/>
          <c:min val="15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HG丸ｺﾞｼｯｸM-PRO" panose="020F0600000000000000" pitchFamily="50" charset="-128"/>
                <a:ea typeface="HG丸ｺﾞｼｯｸM-PRO" panose="020F0600000000000000" pitchFamily="50" charset="-128"/>
              </a:defRPr>
            </a:pPr>
            <a:endParaRPr lang="ja-JP"/>
          </a:p>
        </c:txPr>
        <c:crossAx val="128297600"/>
        <c:crosses val="autoZero"/>
        <c:crossBetween val="between"/>
        <c:majorUnit val="100"/>
      </c:valAx>
    </c:plotArea>
    <c:legend>
      <c:legendPos val="r"/>
      <c:layout>
        <c:manualLayout>
          <c:xMode val="edge"/>
          <c:yMode val="edge"/>
          <c:x val="0.89481074124993631"/>
          <c:y val="0.52395997066688393"/>
          <c:w val="0.10273468941382327"/>
          <c:h val="8.3717191601049873E-2"/>
        </c:manualLayout>
      </c:layout>
      <c:overlay val="0"/>
      <c:txPr>
        <a:bodyPr/>
        <a:lstStyle/>
        <a:p>
          <a:pPr>
            <a:defRPr>
              <a:latin typeface="HG丸ｺﾞｼｯｸM-PRO" panose="020F0600000000000000" pitchFamily="50" charset="-128"/>
              <a:ea typeface="HG丸ｺﾞｼｯｸM-PRO" panose="020F0600000000000000" pitchFamily="50" charset="-128"/>
            </a:defRPr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502853809940438E-2"/>
          <c:y val="0.12763709349165578"/>
          <c:w val="0.91690427585440704"/>
          <c:h val="0.775143655171445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Sheet2!$A$3</c:f>
              <c:strCache>
                <c:ptCount val="1"/>
                <c:pt idx="0">
                  <c:v>男（849件）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>
                    <a:latin typeface="HG丸ｺﾞｼｯｸM-PRO" panose="020F0600000000000000" pitchFamily="50" charset="-128"/>
                    <a:ea typeface="HG丸ｺﾞｼｯｸM-PRO" panose="020F0600000000000000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Sheet2!$B$2:$F$2</c:f>
              <c:strCache>
                <c:ptCount val="5"/>
                <c:pt idx="0">
                  <c:v>0～49歳</c:v>
                </c:pt>
                <c:pt idx="1">
                  <c:v>50～59歳</c:v>
                </c:pt>
                <c:pt idx="2">
                  <c:v>60～69歳</c:v>
                </c:pt>
                <c:pt idx="3">
                  <c:v>70～79歳</c:v>
                </c:pt>
                <c:pt idx="4">
                  <c:v>80歳～</c:v>
                </c:pt>
              </c:strCache>
            </c:strRef>
          </c:cat>
          <c:val>
            <c:numRef>
              <c:f>Sheet2!$B$3:$F$3</c:f>
              <c:numCache>
                <c:formatCode>General</c:formatCode>
                <c:ptCount val="5"/>
                <c:pt idx="0">
                  <c:v>49</c:v>
                </c:pt>
                <c:pt idx="1">
                  <c:v>74</c:v>
                </c:pt>
                <c:pt idx="2">
                  <c:v>245</c:v>
                </c:pt>
                <c:pt idx="3">
                  <c:v>310</c:v>
                </c:pt>
                <c:pt idx="4">
                  <c:v>171</c:v>
                </c:pt>
              </c:numCache>
            </c:numRef>
          </c:val>
        </c:ser>
        <c:ser>
          <c:idx val="1"/>
          <c:order val="1"/>
          <c:tx>
            <c:strRef>
              <c:f>Sheet2!$A$4</c:f>
              <c:strCache>
                <c:ptCount val="1"/>
                <c:pt idx="0">
                  <c:v>女（695件）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3968215989364216E-2"/>
                  <c:y val="3.14244730534781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523663003663678E-2"/>
                  <c:y val="9.721891505228477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079401648176028E-2"/>
                  <c:y val="2.08324184258767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>
                    <a:latin typeface="HG丸ｺﾞｼｯｸM-PRO" panose="020F0600000000000000" pitchFamily="50" charset="-128"/>
                    <a:ea typeface="HG丸ｺﾞｼｯｸM-PRO" panose="020F0600000000000000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Sheet2!$B$2:$F$2</c:f>
              <c:strCache>
                <c:ptCount val="5"/>
                <c:pt idx="0">
                  <c:v>0～49歳</c:v>
                </c:pt>
                <c:pt idx="1">
                  <c:v>50～59歳</c:v>
                </c:pt>
                <c:pt idx="2">
                  <c:v>60～69歳</c:v>
                </c:pt>
                <c:pt idx="3">
                  <c:v>70～79歳</c:v>
                </c:pt>
                <c:pt idx="4">
                  <c:v>80歳～</c:v>
                </c:pt>
              </c:strCache>
            </c:strRef>
          </c:cat>
          <c:val>
            <c:numRef>
              <c:f>Sheet2!$B$4:$F$4</c:f>
              <c:numCache>
                <c:formatCode>General</c:formatCode>
                <c:ptCount val="5"/>
                <c:pt idx="0">
                  <c:v>74</c:v>
                </c:pt>
                <c:pt idx="1">
                  <c:v>82</c:v>
                </c:pt>
                <c:pt idx="2">
                  <c:v>172</c:v>
                </c:pt>
                <c:pt idx="3">
                  <c:v>202</c:v>
                </c:pt>
                <c:pt idx="4">
                  <c:v>165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9261568"/>
        <c:axId val="69267456"/>
      </c:barChart>
      <c:catAx>
        <c:axId val="69261568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txPr>
          <a:bodyPr rot="0" vert="horz"/>
          <a:lstStyle/>
          <a:p>
            <a:pPr>
              <a:defRPr sz="900">
                <a:latin typeface="HG丸ｺﾞｼｯｸM-PRO" panose="020F0600000000000000" pitchFamily="50" charset="-128"/>
                <a:ea typeface="HG丸ｺﾞｼｯｸM-PRO" panose="020F0600000000000000" pitchFamily="50" charset="-128"/>
              </a:defRPr>
            </a:pPr>
            <a:endParaRPr lang="ja-JP"/>
          </a:p>
        </c:txPr>
        <c:crossAx val="692674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9267456"/>
        <c:scaling>
          <c:orientation val="minMax"/>
          <c:max val="400"/>
        </c:scaling>
        <c:delete val="0"/>
        <c:axPos val="l"/>
        <c:majorGridlines/>
        <c:numFmt formatCode="General" sourceLinked="1"/>
        <c:majorTickMark val="in"/>
        <c:minorTickMark val="none"/>
        <c:tickLblPos val="nextTo"/>
        <c:txPr>
          <a:bodyPr rot="0" vert="horz"/>
          <a:lstStyle/>
          <a:p>
            <a:pPr>
              <a:defRPr sz="800">
                <a:latin typeface="HG丸ｺﾞｼｯｸM-PRO" panose="020F0600000000000000" pitchFamily="50" charset="-128"/>
                <a:ea typeface="HG丸ｺﾞｼｯｸM-PRO" panose="020F0600000000000000" pitchFamily="50" charset="-128"/>
              </a:defRPr>
            </a:pPr>
            <a:endParaRPr lang="ja-JP"/>
          </a:p>
        </c:txPr>
        <c:crossAx val="69261568"/>
        <c:crosses val="autoZero"/>
        <c:crossBetween val="between"/>
        <c:majorUnit val="100"/>
      </c:valAx>
    </c:plotArea>
    <c:legend>
      <c:legendPos val="t"/>
      <c:layout>
        <c:manualLayout>
          <c:xMode val="edge"/>
          <c:yMode val="edge"/>
          <c:x val="0.36018664333624961"/>
          <c:y val="2.5555883054725111E-2"/>
          <c:w val="0.46418364371120274"/>
          <c:h val="6.4672758151220394E-2"/>
        </c:manualLayout>
      </c:layout>
      <c:overlay val="0"/>
      <c:txPr>
        <a:bodyPr/>
        <a:lstStyle/>
        <a:p>
          <a:pPr>
            <a:defRPr>
              <a:latin typeface="HG丸ｺﾞｼｯｸM-PRO" panose="020F0600000000000000" pitchFamily="50" charset="-128"/>
              <a:ea typeface="HG丸ｺﾞｼｯｸM-PRO" panose="020F0600000000000000" pitchFamily="50" charset="-128"/>
            </a:defRPr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3001430376758464E-2"/>
          <c:y val="0.11338788533786219"/>
          <c:w val="0.49265286283658988"/>
          <c:h val="0.78244866450517214"/>
        </c:manualLayout>
      </c:layout>
      <c:pie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Lbls>
            <c:dLbl>
              <c:idx val="7"/>
              <c:layout>
                <c:manualLayout>
                  <c:x val="-9.9319066598156716E-3"/>
                  <c:y val="-3.46838998066418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1.0996032903294496E-2"/>
                  <c:y val="-1.77633678143173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3.70653668291464E-2"/>
                  <c:y val="-3.5345581802274715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txPr>
              <a:bodyPr/>
              <a:lstStyle/>
              <a:p>
                <a:pPr>
                  <a:defRPr sz="800">
                    <a:latin typeface="HG丸ｺﾞｼｯｸM-PRO" panose="020F0600000000000000" pitchFamily="50" charset="-128"/>
                    <a:ea typeface="HG丸ｺﾞｼｯｸM-PRO" panose="020F0600000000000000" pitchFamily="50" charset="-128"/>
                  </a:defRPr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Sheet2!$B$7:$K$7</c:f>
              <c:strCache>
                <c:ptCount val="10"/>
                <c:pt idx="0">
                  <c:v>八幡西区</c:v>
                </c:pt>
                <c:pt idx="1">
                  <c:v>若松区</c:v>
                </c:pt>
                <c:pt idx="2">
                  <c:v>遠賀郡</c:v>
                </c:pt>
                <c:pt idx="3">
                  <c:v>中間市・直方市・鞍手町</c:v>
                </c:pt>
                <c:pt idx="4">
                  <c:v>小倉北区・小倉南区・門司区</c:v>
                </c:pt>
                <c:pt idx="5">
                  <c:v>宗像市・福津市</c:v>
                </c:pt>
                <c:pt idx="6">
                  <c:v>八幡東区・戸畑区</c:v>
                </c:pt>
                <c:pt idx="7">
                  <c:v>京築地方</c:v>
                </c:pt>
                <c:pt idx="8">
                  <c:v>県内その他</c:v>
                </c:pt>
                <c:pt idx="9">
                  <c:v>県外</c:v>
                </c:pt>
              </c:strCache>
            </c:strRef>
          </c:cat>
          <c:val>
            <c:numRef>
              <c:f>Sheet2!$B$8:$K$8</c:f>
              <c:numCache>
                <c:formatCode>General</c:formatCode>
                <c:ptCount val="10"/>
                <c:pt idx="0">
                  <c:v>490</c:v>
                </c:pt>
                <c:pt idx="1">
                  <c:v>281</c:v>
                </c:pt>
                <c:pt idx="2">
                  <c:v>245</c:v>
                </c:pt>
                <c:pt idx="3">
                  <c:v>199</c:v>
                </c:pt>
                <c:pt idx="4">
                  <c:v>96</c:v>
                </c:pt>
                <c:pt idx="5">
                  <c:v>73</c:v>
                </c:pt>
                <c:pt idx="6">
                  <c:v>53</c:v>
                </c:pt>
                <c:pt idx="7">
                  <c:v>32</c:v>
                </c:pt>
                <c:pt idx="8">
                  <c:v>56</c:v>
                </c:pt>
                <c:pt idx="9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082471172584906"/>
          <c:y val="8.3186716464067376E-2"/>
          <c:w val="0.35108852134223961"/>
          <c:h val="0.82653820840370784"/>
        </c:manualLayout>
      </c:layout>
      <c:overlay val="0"/>
      <c:txPr>
        <a:bodyPr/>
        <a:lstStyle/>
        <a:p>
          <a:pPr>
            <a:defRPr>
              <a:latin typeface="HG丸ｺﾞｼｯｸM-PRO" panose="020F0600000000000000" pitchFamily="50" charset="-128"/>
              <a:ea typeface="HG丸ｺﾞｼｯｸM-PRO" panose="020F0600000000000000" pitchFamily="50" charset="-128"/>
            </a:defRPr>
          </a:pPr>
          <a:endParaRPr lang="ja-JP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59058821351035"/>
          <c:y val="0.11342397850136107"/>
          <c:w val="0.51561128932957456"/>
          <c:h val="0.77546843779806041"/>
        </c:manualLayout>
      </c:layout>
      <c:pie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</c:dPt>
          <c:dPt>
            <c:idx val="12"/>
            <c:bubble3D val="0"/>
          </c:dPt>
          <c:dPt>
            <c:idx val="13"/>
            <c:bubble3D val="0"/>
          </c:dPt>
          <c:dPt>
            <c:idx val="14"/>
            <c:bubble3D val="0"/>
          </c:dPt>
          <c:dPt>
            <c:idx val="15"/>
            <c:bubble3D val="0"/>
          </c:dPt>
          <c:dLbls>
            <c:dLbl>
              <c:idx val="0"/>
              <c:layout>
                <c:manualLayout>
                  <c:x val="-6.9919037898040519E-3"/>
                  <c:y val="4.149098073616129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8.7085410619968801E-3"/>
                  <c:y val="1.483489630109233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1.1915917917667612E-2"/>
                  <c:y val="6.253263434908832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4157443282551783E-3"/>
                  <c:y val="-2.78490918078211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3.8171154531609474E-3"/>
                  <c:y val="-3.333542193167498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2.7178477690288715E-2"/>
                  <c:y val="-1.848935549722951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8.0525119545242028E-3"/>
                  <c:y val="-2.7273752584640449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食道・胆管・</a:t>
                    </a:r>
                    <a:endParaRPr lang="en-US" altLang="ja-JP" sz="800">
                      <a:latin typeface="HG丸ｺﾞｼｯｸM-PRO" panose="020F0600000000000000" pitchFamily="50" charset="-128"/>
                      <a:ea typeface="HG丸ｺﾞｼｯｸM-PRO" panose="020F0600000000000000" pitchFamily="50" charset="-128"/>
                    </a:endParaRPr>
                  </a:p>
                  <a:p>
                    <a:r>
                      <a:rPr lang="ja-JP" altLang="en-US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胆のう・膵
</a:t>
                    </a:r>
                    <a:r>
                      <a:rPr lang="en-US" altLang="ja-JP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7%</a:t>
                    </a:r>
                    <a:endParaRPr lang="ja-JP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6.8165553379901586E-3"/>
                  <c:y val="-3.041973864672751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1.7354812963056028E-2"/>
                  <c:y val="-1.399386129210281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1.3514977294504854E-2"/>
                  <c:y val="-6.067517422391101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1.8500650381665255E-2"/>
                  <c:y val="6.081441411335519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1.2287215035464871E-2"/>
                  <c:y val="2.492699960621701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2"/>
              <c:layout>
                <c:manualLayout>
                  <c:x val="-0.12318997162391739"/>
                  <c:y val="4.502990176625799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3"/>
              <c:layout>
                <c:manualLayout>
                  <c:x val="-5.0313710786151732E-2"/>
                  <c:y val="1.1091571113292537E-2"/>
                </c:manualLayout>
              </c:layout>
              <c:tx>
                <c:rich>
                  <a:bodyPr/>
                  <a:lstStyle/>
                  <a:p>
                    <a:r>
                      <a:rPr lang="ja-JP" altLang="en-US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脳腫瘍・髄膜腫</a:t>
                    </a:r>
                    <a:endParaRPr lang="en-US" altLang="ja-JP" sz="800">
                      <a:latin typeface="HG丸ｺﾞｼｯｸM-PRO" panose="020F0600000000000000" pitchFamily="50" charset="-128"/>
                      <a:ea typeface="HG丸ｺﾞｼｯｸM-PRO" panose="020F0600000000000000" pitchFamily="50" charset="-128"/>
                    </a:endParaRPr>
                  </a:p>
                  <a:p>
                    <a:r>
                      <a:rPr lang="ja-JP" altLang="en-US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・下垂体腫瘍
</a:t>
                    </a:r>
                    <a:r>
                      <a:rPr lang="en-US" altLang="ja-JP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4%</a:t>
                    </a:r>
                    <a:endParaRPr lang="ja-JP" alt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4"/>
              <c:layout>
                <c:manualLayout>
                  <c:x val="2.5106736657917759E-2"/>
                  <c:y val="1.127369495479731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5"/>
              <c:layout>
                <c:manualLayout>
                  <c:x val="9.723803043138135E-2"/>
                  <c:y val="6.930804736941039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6"/>
              <c:layout>
                <c:manualLayout>
                  <c:xMode val="edge"/>
                  <c:yMode val="edge"/>
                  <c:x val="0.28888967255228015"/>
                  <c:y val="0.1041670198805741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7"/>
              <c:layout>
                <c:manualLayout>
                  <c:xMode val="edge"/>
                  <c:yMode val="edge"/>
                  <c:x val="0.36666766131635559"/>
                  <c:y val="0.1041670198805741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8"/>
              <c:layout>
                <c:manualLayout>
                  <c:xMode val="edge"/>
                  <c:yMode val="edge"/>
                  <c:x val="0.43333450882842023"/>
                  <c:y val="0.1250004238566889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9"/>
              <c:layout>
                <c:manualLayout>
                  <c:xMode val="edge"/>
                  <c:yMode val="edge"/>
                  <c:x val="0.54166813603552522"/>
                  <c:y val="0.1041670198805741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%" sourceLinked="0"/>
            <c:txPr>
              <a:bodyPr/>
              <a:lstStyle/>
              <a:p>
                <a:pPr>
                  <a:defRPr sz="800">
                    <a:latin typeface="HG丸ｺﾞｼｯｸM-PRO" panose="020F0600000000000000" pitchFamily="50" charset="-128"/>
                    <a:ea typeface="HG丸ｺﾞｼｯｸM-PRO" panose="020F0600000000000000" pitchFamily="50" charset="-128"/>
                  </a:defRPr>
                </a:pPr>
                <a:endParaRPr lang="ja-JP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Sheet2!$B$10:$Q$10</c:f>
              <c:strCache>
                <c:ptCount val="16"/>
                <c:pt idx="0">
                  <c:v>肺・気管支</c:v>
                </c:pt>
                <c:pt idx="1">
                  <c:v>胃</c:v>
                </c:pt>
                <c:pt idx="2">
                  <c:v>大腸</c:v>
                </c:pt>
                <c:pt idx="3">
                  <c:v>皮膚</c:v>
                </c:pt>
                <c:pt idx="4">
                  <c:v>乳腺</c:v>
                </c:pt>
                <c:pt idx="5">
                  <c:v>血液がん、リンパ腫</c:v>
                </c:pt>
                <c:pt idx="6">
                  <c:v>食道・胆管・胆のう・膵</c:v>
                </c:pt>
                <c:pt idx="7">
                  <c:v>前立腺</c:v>
                </c:pt>
                <c:pt idx="8">
                  <c:v>肝・肝内胆管</c:v>
                </c:pt>
                <c:pt idx="9">
                  <c:v>膀胱</c:v>
                </c:pt>
                <c:pt idx="10">
                  <c:v>子宮・卵巣・付属器</c:v>
                </c:pt>
                <c:pt idx="11">
                  <c:v>頭頚部</c:v>
                </c:pt>
                <c:pt idx="12">
                  <c:v>腎・腎盂・尿管</c:v>
                </c:pt>
                <c:pt idx="13">
                  <c:v>脳腫瘍・下垂体腫瘍・髄膜腫</c:v>
                </c:pt>
                <c:pt idx="14">
                  <c:v>甲状腺</c:v>
                </c:pt>
                <c:pt idx="15">
                  <c:v>その他</c:v>
                </c:pt>
              </c:strCache>
            </c:strRef>
          </c:cat>
          <c:val>
            <c:numRef>
              <c:f>Sheet2!$B$11:$Q$11</c:f>
              <c:numCache>
                <c:formatCode>General</c:formatCode>
                <c:ptCount val="16"/>
                <c:pt idx="0">
                  <c:v>264</c:v>
                </c:pt>
                <c:pt idx="1">
                  <c:v>132</c:v>
                </c:pt>
                <c:pt idx="2">
                  <c:v>116</c:v>
                </c:pt>
                <c:pt idx="3">
                  <c:v>113</c:v>
                </c:pt>
                <c:pt idx="4">
                  <c:v>109</c:v>
                </c:pt>
                <c:pt idx="5">
                  <c:v>107</c:v>
                </c:pt>
                <c:pt idx="6">
                  <c:v>105</c:v>
                </c:pt>
                <c:pt idx="7">
                  <c:v>90</c:v>
                </c:pt>
                <c:pt idx="8">
                  <c:v>78</c:v>
                </c:pt>
                <c:pt idx="9">
                  <c:v>74</c:v>
                </c:pt>
                <c:pt idx="10">
                  <c:v>73</c:v>
                </c:pt>
                <c:pt idx="11">
                  <c:v>73</c:v>
                </c:pt>
                <c:pt idx="12">
                  <c:v>67</c:v>
                </c:pt>
                <c:pt idx="13">
                  <c:v>62</c:v>
                </c:pt>
                <c:pt idx="14">
                  <c:v>27</c:v>
                </c:pt>
                <c:pt idx="15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36025126488814E-2"/>
          <c:y val="0.26572640684065435"/>
          <c:w val="0.93650201132265876"/>
          <c:h val="0.5956526188943362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Sheet2!$B$13</c:f>
              <c:strCache>
                <c:ptCount val="1"/>
                <c:pt idx="0">
                  <c:v>自主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231938600267559E-3"/>
                  <c:y val="-0.20767130523778868"/>
                </c:manualLayout>
              </c:layout>
              <c:tx>
                <c:rich>
                  <a:bodyPr/>
                  <a:lstStyle/>
                  <a:p>
                    <a:r>
                      <a:rPr lang="ja-JP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86件</a:t>
                    </a:r>
                  </a:p>
                  <a:p>
                    <a:r>
                      <a:rPr lang="ja-JP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6%</a:t>
                    </a:r>
                    <a:endParaRPr lang="ja-JP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>
                    <a:latin typeface="HG丸ｺﾞｼｯｸM-PRO" panose="020F0600000000000000" pitchFamily="50" charset="-128"/>
                    <a:ea typeface="HG丸ｺﾞｼｯｸM-PRO" panose="020F0600000000000000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Sheet2!$B$14</c:f>
              <c:numCache>
                <c:formatCode>General</c:formatCode>
                <c:ptCount val="1"/>
                <c:pt idx="0">
                  <c:v>86</c:v>
                </c:pt>
              </c:numCache>
            </c:numRef>
          </c:val>
        </c:ser>
        <c:ser>
          <c:idx val="1"/>
          <c:order val="1"/>
          <c:tx>
            <c:strRef>
              <c:f>Sheet2!$C$13</c:f>
              <c:strCache>
                <c:ptCount val="1"/>
                <c:pt idx="0">
                  <c:v>他院からの紹介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191906567234652E-2"/>
                  <c:y val="-0.21605704947258952"/>
                </c:manualLayout>
              </c:layout>
              <c:tx>
                <c:rich>
                  <a:bodyPr/>
                  <a:lstStyle/>
                  <a:p>
                    <a:r>
                      <a:rPr lang="ja-JP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1125件</a:t>
                    </a:r>
                  </a:p>
                  <a:p>
                    <a:r>
                      <a:rPr lang="ja-JP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73%</a:t>
                    </a:r>
                    <a:endParaRPr lang="ja-JP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>
                    <a:latin typeface="HG丸ｺﾞｼｯｸM-PRO" panose="020F0600000000000000" pitchFamily="50" charset="-128"/>
                    <a:ea typeface="HG丸ｺﾞｼｯｸM-PRO" panose="020F0600000000000000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Sheet2!$C$14</c:f>
              <c:numCache>
                <c:formatCode>General</c:formatCode>
                <c:ptCount val="1"/>
                <c:pt idx="0">
                  <c:v>1125</c:v>
                </c:pt>
              </c:numCache>
            </c:numRef>
          </c:val>
        </c:ser>
        <c:ser>
          <c:idx val="2"/>
          <c:order val="2"/>
          <c:tx>
            <c:strRef>
              <c:f>Sheet2!$D$13</c:f>
              <c:strCache>
                <c:ptCount val="1"/>
                <c:pt idx="0">
                  <c:v>がん検診・健診・ドックからの紹介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7997565119174917E-2"/>
                  <c:y val="-0.21605704947258952"/>
                </c:manualLayout>
              </c:layout>
              <c:tx>
                <c:rich>
                  <a:bodyPr/>
                  <a:lstStyle/>
                  <a:p>
                    <a:r>
                      <a:rPr lang="ja-JP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1</a:t>
                    </a:r>
                    <a:r>
                      <a:rPr lang="en-US" altLang="ja-JP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1</a:t>
                    </a:r>
                    <a:r>
                      <a:rPr lang="ja-JP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件</a:t>
                    </a:r>
                  </a:p>
                  <a:p>
                    <a:r>
                      <a:rPr lang="ja-JP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1%</a:t>
                    </a:r>
                    <a:endParaRPr lang="ja-JP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>
                    <a:latin typeface="HG丸ｺﾞｼｯｸM-PRO" panose="020F0600000000000000" pitchFamily="50" charset="-128"/>
                    <a:ea typeface="HG丸ｺﾞｼｯｸM-PRO" panose="020F0600000000000000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Sheet2!$D$14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3"/>
          <c:order val="3"/>
          <c:tx>
            <c:strRef>
              <c:f>Sheet2!$E$13</c:f>
              <c:strCache>
                <c:ptCount val="1"/>
                <c:pt idx="0">
                  <c:v>他疾患の経過観察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592277817124715E-2"/>
                  <c:y val="-0.20767130523778868"/>
                </c:manualLayout>
              </c:layout>
              <c:tx>
                <c:rich>
                  <a:bodyPr/>
                  <a:lstStyle/>
                  <a:p>
                    <a:r>
                      <a:rPr lang="ja-JP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312件</a:t>
                    </a:r>
                  </a:p>
                  <a:p>
                    <a:r>
                      <a:rPr lang="ja-JP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20%</a:t>
                    </a:r>
                    <a:endParaRPr lang="ja-JP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>
                    <a:latin typeface="HG丸ｺﾞｼｯｸM-PRO" panose="020F0600000000000000" pitchFamily="50" charset="-128"/>
                    <a:ea typeface="HG丸ｺﾞｼｯｸM-PRO" panose="020F0600000000000000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Sheet2!$E$14</c:f>
              <c:numCache>
                <c:formatCode>General</c:formatCode>
                <c:ptCount val="1"/>
                <c:pt idx="0">
                  <c:v>312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9484672"/>
        <c:axId val="129486208"/>
      </c:barChart>
      <c:catAx>
        <c:axId val="129484672"/>
        <c:scaling>
          <c:orientation val="minMax"/>
        </c:scaling>
        <c:delete val="1"/>
        <c:axPos val="l"/>
        <c:majorTickMark val="out"/>
        <c:minorTickMark val="none"/>
        <c:tickLblPos val="nextTo"/>
        <c:crossAx val="129486208"/>
        <c:crosses val="autoZero"/>
        <c:auto val="1"/>
        <c:lblAlgn val="ctr"/>
        <c:lblOffset val="100"/>
        <c:noMultiLvlLbl val="0"/>
      </c:catAx>
      <c:valAx>
        <c:axId val="129486208"/>
        <c:scaling>
          <c:orientation val="minMax"/>
        </c:scaling>
        <c:delete val="0"/>
        <c:axPos val="b"/>
        <c:majorGridlines/>
        <c:numFmt formatCode="0%" sourceLinked="1"/>
        <c:majorTickMark val="in"/>
        <c:minorTickMark val="none"/>
        <c:tickLblPos val="nextTo"/>
        <c:txPr>
          <a:bodyPr rot="0" vert="horz"/>
          <a:lstStyle/>
          <a:p>
            <a:pPr>
              <a:defRPr sz="800">
                <a:latin typeface="HG丸ｺﾞｼｯｸM-PRO" panose="020F0600000000000000" pitchFamily="50" charset="-128"/>
                <a:ea typeface="HG丸ｺﾞｼｯｸM-PRO" panose="020F0600000000000000" pitchFamily="50" charset="-128"/>
              </a:defRPr>
            </a:pPr>
            <a:endParaRPr lang="ja-JP"/>
          </a:p>
        </c:txPr>
        <c:crossAx val="12948467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1.2375119776694577E-2"/>
          <c:y val="7.1280146585450399E-2"/>
          <c:w val="0.97182778078666088"/>
          <c:h val="0.11805628463108778"/>
        </c:manualLayout>
      </c:layout>
      <c:overlay val="0"/>
      <c:txPr>
        <a:bodyPr/>
        <a:lstStyle/>
        <a:p>
          <a:pPr>
            <a:defRPr sz="900">
              <a:latin typeface="HG丸ｺﾞｼｯｸM-PRO" panose="020F0600000000000000" pitchFamily="50" charset="-128"/>
              <a:ea typeface="HG丸ｺﾞｼｯｸM-PRO" panose="020F0600000000000000" pitchFamily="50" charset="-128"/>
            </a:defRPr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5067607289829513E-2"/>
          <c:y val="0.23516840499649586"/>
          <c:w val="0.94027042915931802"/>
          <c:h val="0.6321857073255063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Sheet2!$B$16</c:f>
              <c:strCache>
                <c:ptCount val="1"/>
                <c:pt idx="0">
                  <c:v>がん検診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3451327843278846E-3"/>
                  <c:y val="-0.21364703663539064"/>
                </c:manualLayout>
              </c:layout>
              <c:tx>
                <c:rich>
                  <a:bodyPr/>
                  <a:lstStyle/>
                  <a:p>
                    <a:r>
                      <a:rPr lang="ja-JP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68件</a:t>
                    </a:r>
                  </a:p>
                  <a:p>
                    <a:r>
                      <a:rPr lang="ja-JP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4%</a:t>
                    </a:r>
                    <a:endParaRPr lang="ja-JP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>
                    <a:latin typeface="HG丸ｺﾞｼｯｸM-PRO" panose="020F0600000000000000" pitchFamily="50" charset="-128"/>
                    <a:ea typeface="HG丸ｺﾞｼｯｸM-PRO" panose="020F0600000000000000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Sheet2!$B$17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</c:ser>
        <c:ser>
          <c:idx val="1"/>
          <c:order val="1"/>
          <c:tx>
            <c:strRef>
              <c:f>Sheet2!$C$16</c:f>
              <c:strCache>
                <c:ptCount val="1"/>
                <c:pt idx="0">
                  <c:v>健診・ドック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509547417683901E-3"/>
                  <c:y val="0.20950665597937981"/>
                </c:manualLayout>
              </c:layout>
              <c:tx>
                <c:rich>
                  <a:bodyPr/>
                  <a:lstStyle/>
                  <a:p>
                    <a:r>
                      <a:rPr lang="ja-JP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84件</a:t>
                    </a:r>
                  </a:p>
                  <a:p>
                    <a:r>
                      <a:rPr lang="ja-JP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5%</a:t>
                    </a:r>
                    <a:endParaRPr lang="ja-JP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>
                    <a:latin typeface="HG丸ｺﾞｼｯｸM-PRO" panose="020F0600000000000000" pitchFamily="50" charset="-128"/>
                    <a:ea typeface="HG丸ｺﾞｼｯｸM-PRO" panose="020F0600000000000000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Sheet2!$C$17</c:f>
              <c:numCache>
                <c:formatCode>General</c:formatCode>
                <c:ptCount val="1"/>
                <c:pt idx="0">
                  <c:v>84</c:v>
                </c:pt>
              </c:numCache>
            </c:numRef>
          </c:val>
        </c:ser>
        <c:ser>
          <c:idx val="2"/>
          <c:order val="2"/>
          <c:tx>
            <c:strRef>
              <c:f>Sheet2!$D$16</c:f>
              <c:strCache>
                <c:ptCount val="1"/>
                <c:pt idx="0">
                  <c:v>他疾患の経過観察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9231207210209833E-2"/>
                  <c:y val="-0.21468621811495117"/>
                </c:manualLayout>
              </c:layout>
              <c:tx>
                <c:rich>
                  <a:bodyPr/>
                  <a:lstStyle/>
                  <a:p>
                    <a:r>
                      <a:rPr lang="ja-JP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639件</a:t>
                    </a:r>
                  </a:p>
                  <a:p>
                    <a:r>
                      <a:rPr lang="ja-JP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42%</a:t>
                    </a:r>
                    <a:endParaRPr lang="ja-JP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>
                    <a:latin typeface="HG丸ｺﾞｼｯｸM-PRO" panose="020F0600000000000000" pitchFamily="50" charset="-128"/>
                    <a:ea typeface="HG丸ｺﾞｼｯｸM-PRO" panose="020F0600000000000000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Sheet2!$D$17</c:f>
              <c:numCache>
                <c:formatCode>General</c:formatCode>
                <c:ptCount val="1"/>
                <c:pt idx="0">
                  <c:v>639</c:v>
                </c:pt>
              </c:numCache>
            </c:numRef>
          </c:val>
        </c:ser>
        <c:ser>
          <c:idx val="3"/>
          <c:order val="3"/>
          <c:tx>
            <c:strRef>
              <c:f>Sheet2!$E$16</c:f>
              <c:strCache>
                <c:ptCount val="1"/>
                <c:pt idx="0">
                  <c:v>自覚症状、その他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3235336323700279E-3"/>
                  <c:y val="-0.21468621811495117"/>
                </c:manualLayout>
              </c:layout>
              <c:tx>
                <c:rich>
                  <a:bodyPr/>
                  <a:lstStyle/>
                  <a:p>
                    <a:r>
                      <a:rPr lang="ja-JP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753件</a:t>
                    </a:r>
                  </a:p>
                  <a:p>
                    <a:r>
                      <a:rPr lang="ja-JP" sz="800">
                        <a:latin typeface="HG丸ｺﾞｼｯｸM-PRO" panose="020F0600000000000000" pitchFamily="50" charset="-128"/>
                        <a:ea typeface="HG丸ｺﾞｼｯｸM-PRO" panose="020F0600000000000000" pitchFamily="50" charset="-128"/>
                      </a:rPr>
                      <a:t>49%</a:t>
                    </a:r>
                    <a:endParaRPr lang="ja-JP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>
                    <a:latin typeface="HG丸ｺﾞｼｯｸM-PRO" panose="020F0600000000000000" pitchFamily="50" charset="-128"/>
                    <a:ea typeface="HG丸ｺﾞｼｯｸM-PRO" panose="020F0600000000000000" pitchFamily="50" charset="-128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Sheet2!$E$17</c:f>
              <c:numCache>
                <c:formatCode>General</c:formatCode>
                <c:ptCount val="1"/>
                <c:pt idx="0">
                  <c:v>753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9539456"/>
        <c:axId val="129557632"/>
      </c:barChart>
      <c:catAx>
        <c:axId val="129539456"/>
        <c:scaling>
          <c:orientation val="minMax"/>
        </c:scaling>
        <c:delete val="1"/>
        <c:axPos val="l"/>
        <c:majorTickMark val="out"/>
        <c:minorTickMark val="none"/>
        <c:tickLblPos val="nextTo"/>
        <c:crossAx val="129557632"/>
        <c:crosses val="autoZero"/>
        <c:auto val="1"/>
        <c:lblAlgn val="ctr"/>
        <c:lblOffset val="100"/>
        <c:noMultiLvlLbl val="0"/>
      </c:catAx>
      <c:valAx>
        <c:axId val="129557632"/>
        <c:scaling>
          <c:orientation val="minMax"/>
        </c:scaling>
        <c:delete val="0"/>
        <c:axPos val="b"/>
        <c:majorGridlines/>
        <c:numFmt formatCode="0%" sourceLinked="1"/>
        <c:majorTickMark val="in"/>
        <c:minorTickMark val="none"/>
        <c:tickLblPos val="nextTo"/>
        <c:txPr>
          <a:bodyPr rot="0" vert="horz"/>
          <a:lstStyle/>
          <a:p>
            <a:pPr>
              <a:defRPr sz="800">
                <a:latin typeface="HG丸ｺﾞｼｯｸM-PRO" panose="020F0600000000000000" pitchFamily="50" charset="-128"/>
                <a:ea typeface="HG丸ｺﾞｼｯｸM-PRO" panose="020F0600000000000000" pitchFamily="50" charset="-128"/>
              </a:defRPr>
            </a:pPr>
            <a:endParaRPr lang="ja-JP"/>
          </a:p>
        </c:txPr>
        <c:crossAx val="12953945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4.7222245367477211E-2"/>
          <c:y val="6.1665223784199752E-2"/>
          <c:w val="0.901281043573257"/>
          <c:h val="0.11805628463108778"/>
        </c:manualLayout>
      </c:layout>
      <c:overlay val="0"/>
      <c:txPr>
        <a:bodyPr/>
        <a:lstStyle/>
        <a:p>
          <a:pPr>
            <a:defRPr sz="900">
              <a:latin typeface="HG丸ｺﾞｼｯｸM-PRO" panose="020F0600000000000000" pitchFamily="50" charset="-128"/>
              <a:ea typeface="HG丸ｺﾞｼｯｸM-PRO" panose="020F0600000000000000" pitchFamily="50" charset="-128"/>
            </a:defRPr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Sheet2!$A$20</c:f>
              <c:strCache>
                <c:ptCount val="1"/>
                <c:pt idx="0">
                  <c:v>0</c:v>
                </c:pt>
              </c:strCache>
            </c:strRef>
          </c:tx>
          <c:invertIfNegative val="0"/>
          <c:cat>
            <c:strRef>
              <c:f>Sheet2!$B$19:$O$19</c:f>
              <c:strCache>
                <c:ptCount val="14"/>
                <c:pt idx="0">
                  <c:v>肺・気管支（264件）</c:v>
                </c:pt>
                <c:pt idx="1">
                  <c:v>胃（132件）</c:v>
                </c:pt>
                <c:pt idx="2">
                  <c:v>大腸（116件）</c:v>
                </c:pt>
                <c:pt idx="3">
                  <c:v>皮膚（113件）</c:v>
                </c:pt>
                <c:pt idx="4">
                  <c:v>乳腺（109件）</c:v>
                </c:pt>
                <c:pt idx="5">
                  <c:v>食道・胆管・胆のう・膵（105件）</c:v>
                </c:pt>
                <c:pt idx="6">
                  <c:v>前立腺（90件）</c:v>
                </c:pt>
                <c:pt idx="7">
                  <c:v>肝・肝内胆管（78件）</c:v>
                </c:pt>
                <c:pt idx="8">
                  <c:v>膀胱（74件）</c:v>
                </c:pt>
                <c:pt idx="9">
                  <c:v>子宮・卵巣・付属器（73件）</c:v>
                </c:pt>
                <c:pt idx="10">
                  <c:v>頭頚部（73件）</c:v>
                </c:pt>
                <c:pt idx="11">
                  <c:v>腎・腎盂・尿管（67件）</c:v>
                </c:pt>
                <c:pt idx="12">
                  <c:v>甲状腺（27件）</c:v>
                </c:pt>
                <c:pt idx="13">
                  <c:v>その他（54件）</c:v>
                </c:pt>
              </c:strCache>
            </c:strRef>
          </c:cat>
          <c:val>
            <c:numRef>
              <c:f>Sheet2!$B$20:$O$20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25</c:v>
                </c:pt>
                <c:pt idx="4">
                  <c:v>11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28</c:v>
                </c:pt>
                <c:pt idx="9">
                  <c:v>0</c:v>
                </c:pt>
                <c:pt idx="10">
                  <c:v>1</c:v>
                </c:pt>
                <c:pt idx="11">
                  <c:v>7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Sheet2!$A$21</c:f>
              <c:strCache>
                <c:ptCount val="1"/>
                <c:pt idx="0">
                  <c:v>Ⅰ</c:v>
                </c:pt>
              </c:strCache>
            </c:strRef>
          </c:tx>
          <c:invertIfNegative val="0"/>
          <c:cat>
            <c:strRef>
              <c:f>Sheet2!$B$19:$O$19</c:f>
              <c:strCache>
                <c:ptCount val="14"/>
                <c:pt idx="0">
                  <c:v>肺・気管支（264件）</c:v>
                </c:pt>
                <c:pt idx="1">
                  <c:v>胃（132件）</c:v>
                </c:pt>
                <c:pt idx="2">
                  <c:v>大腸（116件）</c:v>
                </c:pt>
                <c:pt idx="3">
                  <c:v>皮膚（113件）</c:v>
                </c:pt>
                <c:pt idx="4">
                  <c:v>乳腺（109件）</c:v>
                </c:pt>
                <c:pt idx="5">
                  <c:v>食道・胆管・胆のう・膵（105件）</c:v>
                </c:pt>
                <c:pt idx="6">
                  <c:v>前立腺（90件）</c:v>
                </c:pt>
                <c:pt idx="7">
                  <c:v>肝・肝内胆管（78件）</c:v>
                </c:pt>
                <c:pt idx="8">
                  <c:v>膀胱（74件）</c:v>
                </c:pt>
                <c:pt idx="9">
                  <c:v>子宮・卵巣・付属器（73件）</c:v>
                </c:pt>
                <c:pt idx="10">
                  <c:v>頭頚部（73件）</c:v>
                </c:pt>
                <c:pt idx="11">
                  <c:v>腎・腎盂・尿管（67件）</c:v>
                </c:pt>
                <c:pt idx="12">
                  <c:v>甲状腺（27件）</c:v>
                </c:pt>
                <c:pt idx="13">
                  <c:v>その他（54件）</c:v>
                </c:pt>
              </c:strCache>
            </c:strRef>
          </c:cat>
          <c:val>
            <c:numRef>
              <c:f>Sheet2!$B$21:$O$21</c:f>
              <c:numCache>
                <c:formatCode>General</c:formatCode>
                <c:ptCount val="14"/>
                <c:pt idx="0">
                  <c:v>140</c:v>
                </c:pt>
                <c:pt idx="1">
                  <c:v>80</c:v>
                </c:pt>
                <c:pt idx="2">
                  <c:v>53</c:v>
                </c:pt>
                <c:pt idx="3">
                  <c:v>46</c:v>
                </c:pt>
                <c:pt idx="4">
                  <c:v>40</c:v>
                </c:pt>
                <c:pt idx="5">
                  <c:v>31</c:v>
                </c:pt>
                <c:pt idx="6">
                  <c:v>54</c:v>
                </c:pt>
                <c:pt idx="7">
                  <c:v>29</c:v>
                </c:pt>
                <c:pt idx="8">
                  <c:v>35</c:v>
                </c:pt>
                <c:pt idx="9">
                  <c:v>35</c:v>
                </c:pt>
                <c:pt idx="10">
                  <c:v>17</c:v>
                </c:pt>
                <c:pt idx="11">
                  <c:v>33</c:v>
                </c:pt>
                <c:pt idx="12">
                  <c:v>10</c:v>
                </c:pt>
                <c:pt idx="13">
                  <c:v>19</c:v>
                </c:pt>
              </c:numCache>
            </c:numRef>
          </c:val>
        </c:ser>
        <c:ser>
          <c:idx val="2"/>
          <c:order val="2"/>
          <c:tx>
            <c:strRef>
              <c:f>Sheet2!$A$22</c:f>
              <c:strCache>
                <c:ptCount val="1"/>
                <c:pt idx="0">
                  <c:v>Ⅱ</c:v>
                </c:pt>
              </c:strCache>
            </c:strRef>
          </c:tx>
          <c:invertIfNegative val="0"/>
          <c:cat>
            <c:strRef>
              <c:f>Sheet2!$B$19:$O$19</c:f>
              <c:strCache>
                <c:ptCount val="14"/>
                <c:pt idx="0">
                  <c:v>肺・気管支（264件）</c:v>
                </c:pt>
                <c:pt idx="1">
                  <c:v>胃（132件）</c:v>
                </c:pt>
                <c:pt idx="2">
                  <c:v>大腸（116件）</c:v>
                </c:pt>
                <c:pt idx="3">
                  <c:v>皮膚（113件）</c:v>
                </c:pt>
                <c:pt idx="4">
                  <c:v>乳腺（109件）</c:v>
                </c:pt>
                <c:pt idx="5">
                  <c:v>食道・胆管・胆のう・膵（105件）</c:v>
                </c:pt>
                <c:pt idx="6">
                  <c:v>前立腺（90件）</c:v>
                </c:pt>
                <c:pt idx="7">
                  <c:v>肝・肝内胆管（78件）</c:v>
                </c:pt>
                <c:pt idx="8">
                  <c:v>膀胱（74件）</c:v>
                </c:pt>
                <c:pt idx="9">
                  <c:v>子宮・卵巣・付属器（73件）</c:v>
                </c:pt>
                <c:pt idx="10">
                  <c:v>頭頚部（73件）</c:v>
                </c:pt>
                <c:pt idx="11">
                  <c:v>腎・腎盂・尿管（67件）</c:v>
                </c:pt>
                <c:pt idx="12">
                  <c:v>甲状腺（27件）</c:v>
                </c:pt>
                <c:pt idx="13">
                  <c:v>その他（54件）</c:v>
                </c:pt>
              </c:strCache>
            </c:strRef>
          </c:cat>
          <c:val>
            <c:numRef>
              <c:f>Sheet2!$B$22:$O$22</c:f>
              <c:numCache>
                <c:formatCode>General</c:formatCode>
                <c:ptCount val="14"/>
                <c:pt idx="0">
                  <c:v>32</c:v>
                </c:pt>
                <c:pt idx="1">
                  <c:v>27</c:v>
                </c:pt>
                <c:pt idx="2">
                  <c:v>12</c:v>
                </c:pt>
                <c:pt idx="3">
                  <c:v>26</c:v>
                </c:pt>
                <c:pt idx="4">
                  <c:v>33</c:v>
                </c:pt>
                <c:pt idx="5">
                  <c:v>20</c:v>
                </c:pt>
                <c:pt idx="6">
                  <c:v>16</c:v>
                </c:pt>
                <c:pt idx="7">
                  <c:v>24</c:v>
                </c:pt>
                <c:pt idx="8">
                  <c:v>7</c:v>
                </c:pt>
                <c:pt idx="9">
                  <c:v>13</c:v>
                </c:pt>
                <c:pt idx="10">
                  <c:v>7</c:v>
                </c:pt>
                <c:pt idx="11">
                  <c:v>4</c:v>
                </c:pt>
                <c:pt idx="12">
                  <c:v>9</c:v>
                </c:pt>
                <c:pt idx="13">
                  <c:v>9</c:v>
                </c:pt>
              </c:numCache>
            </c:numRef>
          </c:val>
        </c:ser>
        <c:ser>
          <c:idx val="3"/>
          <c:order val="3"/>
          <c:tx>
            <c:strRef>
              <c:f>Sheet2!$A$23</c:f>
              <c:strCache>
                <c:ptCount val="1"/>
                <c:pt idx="0">
                  <c:v>Ⅲ</c:v>
                </c:pt>
              </c:strCache>
            </c:strRef>
          </c:tx>
          <c:invertIfNegative val="0"/>
          <c:cat>
            <c:strRef>
              <c:f>Sheet2!$B$19:$O$19</c:f>
              <c:strCache>
                <c:ptCount val="14"/>
                <c:pt idx="0">
                  <c:v>肺・気管支（264件）</c:v>
                </c:pt>
                <c:pt idx="1">
                  <c:v>胃（132件）</c:v>
                </c:pt>
                <c:pt idx="2">
                  <c:v>大腸（116件）</c:v>
                </c:pt>
                <c:pt idx="3">
                  <c:v>皮膚（113件）</c:v>
                </c:pt>
                <c:pt idx="4">
                  <c:v>乳腺（109件）</c:v>
                </c:pt>
                <c:pt idx="5">
                  <c:v>食道・胆管・胆のう・膵（105件）</c:v>
                </c:pt>
                <c:pt idx="6">
                  <c:v>前立腺（90件）</c:v>
                </c:pt>
                <c:pt idx="7">
                  <c:v>肝・肝内胆管（78件）</c:v>
                </c:pt>
                <c:pt idx="8">
                  <c:v>膀胱（74件）</c:v>
                </c:pt>
                <c:pt idx="9">
                  <c:v>子宮・卵巣・付属器（73件）</c:v>
                </c:pt>
                <c:pt idx="10">
                  <c:v>頭頚部（73件）</c:v>
                </c:pt>
                <c:pt idx="11">
                  <c:v>腎・腎盂・尿管（67件）</c:v>
                </c:pt>
                <c:pt idx="12">
                  <c:v>甲状腺（27件）</c:v>
                </c:pt>
                <c:pt idx="13">
                  <c:v>その他（54件）</c:v>
                </c:pt>
              </c:strCache>
            </c:strRef>
          </c:cat>
          <c:val>
            <c:numRef>
              <c:f>Sheet2!$B$23:$O$23</c:f>
              <c:numCache>
                <c:formatCode>General</c:formatCode>
                <c:ptCount val="14"/>
                <c:pt idx="0">
                  <c:v>33</c:v>
                </c:pt>
                <c:pt idx="1">
                  <c:v>7</c:v>
                </c:pt>
                <c:pt idx="2">
                  <c:v>10</c:v>
                </c:pt>
                <c:pt idx="3">
                  <c:v>6</c:v>
                </c:pt>
                <c:pt idx="4">
                  <c:v>14</c:v>
                </c:pt>
                <c:pt idx="5">
                  <c:v>22</c:v>
                </c:pt>
                <c:pt idx="6">
                  <c:v>5</c:v>
                </c:pt>
                <c:pt idx="7">
                  <c:v>16</c:v>
                </c:pt>
                <c:pt idx="8">
                  <c:v>2</c:v>
                </c:pt>
                <c:pt idx="9">
                  <c:v>10</c:v>
                </c:pt>
                <c:pt idx="10">
                  <c:v>16</c:v>
                </c:pt>
                <c:pt idx="11">
                  <c:v>6</c:v>
                </c:pt>
                <c:pt idx="12">
                  <c:v>0</c:v>
                </c:pt>
                <c:pt idx="13">
                  <c:v>8</c:v>
                </c:pt>
              </c:numCache>
            </c:numRef>
          </c:val>
        </c:ser>
        <c:ser>
          <c:idx val="4"/>
          <c:order val="4"/>
          <c:tx>
            <c:strRef>
              <c:f>Sheet2!$A$24</c:f>
              <c:strCache>
                <c:ptCount val="1"/>
                <c:pt idx="0">
                  <c:v>Ⅳ</c:v>
                </c:pt>
              </c:strCache>
            </c:strRef>
          </c:tx>
          <c:invertIfNegative val="0"/>
          <c:cat>
            <c:strRef>
              <c:f>Sheet2!$B$19:$O$19</c:f>
              <c:strCache>
                <c:ptCount val="14"/>
                <c:pt idx="0">
                  <c:v>肺・気管支（264件）</c:v>
                </c:pt>
                <c:pt idx="1">
                  <c:v>胃（132件）</c:v>
                </c:pt>
                <c:pt idx="2">
                  <c:v>大腸（116件）</c:v>
                </c:pt>
                <c:pt idx="3">
                  <c:v>皮膚（113件）</c:v>
                </c:pt>
                <c:pt idx="4">
                  <c:v>乳腺（109件）</c:v>
                </c:pt>
                <c:pt idx="5">
                  <c:v>食道・胆管・胆のう・膵（105件）</c:v>
                </c:pt>
                <c:pt idx="6">
                  <c:v>前立腺（90件）</c:v>
                </c:pt>
                <c:pt idx="7">
                  <c:v>肝・肝内胆管（78件）</c:v>
                </c:pt>
                <c:pt idx="8">
                  <c:v>膀胱（74件）</c:v>
                </c:pt>
                <c:pt idx="9">
                  <c:v>子宮・卵巣・付属器（73件）</c:v>
                </c:pt>
                <c:pt idx="10">
                  <c:v>頭頚部（73件）</c:v>
                </c:pt>
                <c:pt idx="11">
                  <c:v>腎・腎盂・尿管（67件）</c:v>
                </c:pt>
                <c:pt idx="12">
                  <c:v>甲状腺（27件）</c:v>
                </c:pt>
                <c:pt idx="13">
                  <c:v>その他（54件）</c:v>
                </c:pt>
              </c:strCache>
            </c:strRef>
          </c:cat>
          <c:val>
            <c:numRef>
              <c:f>Sheet2!$B$24:$O$24</c:f>
              <c:numCache>
                <c:formatCode>General</c:formatCode>
                <c:ptCount val="14"/>
                <c:pt idx="0">
                  <c:v>58</c:v>
                </c:pt>
                <c:pt idx="1">
                  <c:v>17</c:v>
                </c:pt>
                <c:pt idx="2">
                  <c:v>18</c:v>
                </c:pt>
                <c:pt idx="3">
                  <c:v>4</c:v>
                </c:pt>
                <c:pt idx="4">
                  <c:v>11</c:v>
                </c:pt>
                <c:pt idx="5">
                  <c:v>28</c:v>
                </c:pt>
                <c:pt idx="6">
                  <c:v>13</c:v>
                </c:pt>
                <c:pt idx="7">
                  <c:v>5</c:v>
                </c:pt>
                <c:pt idx="8">
                  <c:v>1</c:v>
                </c:pt>
                <c:pt idx="9">
                  <c:v>9</c:v>
                </c:pt>
                <c:pt idx="10">
                  <c:v>31</c:v>
                </c:pt>
                <c:pt idx="11">
                  <c:v>16</c:v>
                </c:pt>
                <c:pt idx="12">
                  <c:v>7</c:v>
                </c:pt>
                <c:pt idx="13">
                  <c:v>6</c:v>
                </c:pt>
              </c:numCache>
            </c:numRef>
          </c:val>
        </c:ser>
        <c:ser>
          <c:idx val="5"/>
          <c:order val="5"/>
          <c:tx>
            <c:strRef>
              <c:f>Sheet2!$A$25</c:f>
              <c:strCache>
                <c:ptCount val="1"/>
                <c:pt idx="0">
                  <c:v>不明</c:v>
                </c:pt>
              </c:strCache>
            </c:strRef>
          </c:tx>
          <c:invertIfNegative val="0"/>
          <c:cat>
            <c:strRef>
              <c:f>Sheet2!$B$19:$O$19</c:f>
              <c:strCache>
                <c:ptCount val="14"/>
                <c:pt idx="0">
                  <c:v>肺・気管支（264件）</c:v>
                </c:pt>
                <c:pt idx="1">
                  <c:v>胃（132件）</c:v>
                </c:pt>
                <c:pt idx="2">
                  <c:v>大腸（116件）</c:v>
                </c:pt>
                <c:pt idx="3">
                  <c:v>皮膚（113件）</c:v>
                </c:pt>
                <c:pt idx="4">
                  <c:v>乳腺（109件）</c:v>
                </c:pt>
                <c:pt idx="5">
                  <c:v>食道・胆管・胆のう・膵（105件）</c:v>
                </c:pt>
                <c:pt idx="6">
                  <c:v>前立腺（90件）</c:v>
                </c:pt>
                <c:pt idx="7">
                  <c:v>肝・肝内胆管（78件）</c:v>
                </c:pt>
                <c:pt idx="8">
                  <c:v>膀胱（74件）</c:v>
                </c:pt>
                <c:pt idx="9">
                  <c:v>子宮・卵巣・付属器（73件）</c:v>
                </c:pt>
                <c:pt idx="10">
                  <c:v>頭頚部（73件）</c:v>
                </c:pt>
                <c:pt idx="11">
                  <c:v>腎・腎盂・尿管（67件）</c:v>
                </c:pt>
                <c:pt idx="12">
                  <c:v>甲状腺（27件）</c:v>
                </c:pt>
                <c:pt idx="13">
                  <c:v>その他（54件）</c:v>
                </c:pt>
              </c:strCache>
            </c:strRef>
          </c:cat>
          <c:val>
            <c:numRef>
              <c:f>Sheet2!$B$25:$O$25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18</c:v>
                </c:pt>
                <c:pt idx="3">
                  <c:v>6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1</c:v>
                </c:pt>
                <c:pt idx="9">
                  <c:v>6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9590016"/>
        <c:axId val="129591552"/>
      </c:barChart>
      <c:catAx>
        <c:axId val="129590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ja-JP"/>
          </a:p>
        </c:txPr>
        <c:crossAx val="129591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9591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ja-JP"/>
          </a:p>
        </c:txPr>
        <c:crossAx val="129590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358612580834807"/>
          <c:y val="2.1937321937321959E-2"/>
          <c:w val="8.2304526748971193E-2"/>
          <c:h val="0.67882241215574546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800"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816624773755133E-2"/>
          <c:y val="8.8888888888888892E-2"/>
          <c:w val="0.91415628601980303"/>
          <c:h val="0.3830837508947745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Sheet5!$A$62</c:f>
              <c:strCache>
                <c:ptCount val="1"/>
                <c:pt idx="0">
                  <c:v>外科的手術あり</c:v>
                </c:pt>
              </c:strCache>
            </c:strRef>
          </c:tx>
          <c:invertIfNegative val="0"/>
          <c:cat>
            <c:strRef>
              <c:f>Sheet5!$B$61</c:f>
              <c:strCache>
                <c:ptCount val="1"/>
                <c:pt idx="0">
                  <c:v>件数</c:v>
                </c:pt>
              </c:strCache>
            </c:strRef>
          </c:cat>
          <c:val>
            <c:numRef>
              <c:f>Sheet5!$B$62</c:f>
              <c:numCache>
                <c:formatCode>General</c:formatCode>
                <c:ptCount val="1"/>
                <c:pt idx="0">
                  <c:v>899</c:v>
                </c:pt>
              </c:numCache>
            </c:numRef>
          </c:val>
        </c:ser>
        <c:ser>
          <c:idx val="1"/>
          <c:order val="1"/>
          <c:tx>
            <c:strRef>
              <c:f>Sheet5!$A$63</c:f>
              <c:strCache>
                <c:ptCount val="1"/>
                <c:pt idx="0">
                  <c:v>内視鏡的手術あり</c:v>
                </c:pt>
              </c:strCache>
            </c:strRef>
          </c:tx>
          <c:invertIfNegative val="0"/>
          <c:cat>
            <c:strRef>
              <c:f>Sheet5!$B$61</c:f>
              <c:strCache>
                <c:ptCount val="1"/>
                <c:pt idx="0">
                  <c:v>件数</c:v>
                </c:pt>
              </c:strCache>
            </c:strRef>
          </c:cat>
          <c:val>
            <c:numRef>
              <c:f>Sheet5!$B$63</c:f>
              <c:numCache>
                <c:formatCode>General</c:formatCode>
                <c:ptCount val="1"/>
                <c:pt idx="0">
                  <c:v>160</c:v>
                </c:pt>
              </c:numCache>
            </c:numRef>
          </c:val>
        </c:ser>
        <c:ser>
          <c:idx val="2"/>
          <c:order val="2"/>
          <c:tx>
            <c:strRef>
              <c:f>Sheet5!$A$64</c:f>
              <c:strCache>
                <c:ptCount val="1"/>
                <c:pt idx="0">
                  <c:v>放射線治療あり</c:v>
                </c:pt>
              </c:strCache>
            </c:strRef>
          </c:tx>
          <c:invertIfNegative val="0"/>
          <c:cat>
            <c:strRef>
              <c:f>Sheet5!$B$61</c:f>
              <c:strCache>
                <c:ptCount val="1"/>
                <c:pt idx="0">
                  <c:v>件数</c:v>
                </c:pt>
              </c:strCache>
            </c:strRef>
          </c:cat>
          <c:val>
            <c:numRef>
              <c:f>Sheet5!$B$64</c:f>
              <c:numCache>
                <c:formatCode>General</c:formatCode>
                <c:ptCount val="1"/>
                <c:pt idx="0">
                  <c:v>204</c:v>
                </c:pt>
              </c:numCache>
            </c:numRef>
          </c:val>
        </c:ser>
        <c:ser>
          <c:idx val="3"/>
          <c:order val="3"/>
          <c:tx>
            <c:strRef>
              <c:f>Sheet5!$A$65</c:f>
              <c:strCache>
                <c:ptCount val="1"/>
                <c:pt idx="0">
                  <c:v>薬物療法（化学療法＋内分泌療法）あり</c:v>
                </c:pt>
              </c:strCache>
            </c:strRef>
          </c:tx>
          <c:invertIfNegative val="0"/>
          <c:cat>
            <c:strRef>
              <c:f>Sheet5!$B$61</c:f>
              <c:strCache>
                <c:ptCount val="1"/>
                <c:pt idx="0">
                  <c:v>件数</c:v>
                </c:pt>
              </c:strCache>
            </c:strRef>
          </c:cat>
          <c:val>
            <c:numRef>
              <c:f>Sheet5!$B$65</c:f>
              <c:numCache>
                <c:formatCode>General</c:formatCode>
                <c:ptCount val="1"/>
                <c:pt idx="0">
                  <c:v>612</c:v>
                </c:pt>
              </c:numCache>
            </c:numRef>
          </c:val>
        </c:ser>
        <c:ser>
          <c:idx val="4"/>
          <c:order val="4"/>
          <c:tx>
            <c:strRef>
              <c:f>Sheet5!$A$66</c:f>
              <c:strCache>
                <c:ptCount val="1"/>
                <c:pt idx="0">
                  <c:v>その他の治療あり</c:v>
                </c:pt>
              </c:strCache>
            </c:strRef>
          </c:tx>
          <c:invertIfNegative val="0"/>
          <c:cat>
            <c:strRef>
              <c:f>Sheet5!$B$61</c:f>
              <c:strCache>
                <c:ptCount val="1"/>
                <c:pt idx="0">
                  <c:v>件数</c:v>
                </c:pt>
              </c:strCache>
            </c:strRef>
          </c:cat>
          <c:val>
            <c:numRef>
              <c:f>Sheet5!$B$66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</c:ser>
        <c:ser>
          <c:idx val="5"/>
          <c:order val="5"/>
          <c:tx>
            <c:strRef>
              <c:f>Sheet5!$A$67</c:f>
              <c:strCache>
                <c:ptCount val="1"/>
                <c:pt idx="0">
                  <c:v>治療なし</c:v>
                </c:pt>
              </c:strCache>
            </c:strRef>
          </c:tx>
          <c:invertIfNegative val="0"/>
          <c:cat>
            <c:strRef>
              <c:f>Sheet5!$B$61</c:f>
              <c:strCache>
                <c:ptCount val="1"/>
                <c:pt idx="0">
                  <c:v>件数</c:v>
                </c:pt>
              </c:strCache>
            </c:strRef>
          </c:cat>
          <c:val>
            <c:numRef>
              <c:f>Sheet5!$B$67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30750336"/>
        <c:axId val="130751872"/>
      </c:barChart>
      <c:catAx>
        <c:axId val="130750336"/>
        <c:scaling>
          <c:orientation val="minMax"/>
        </c:scaling>
        <c:delete val="1"/>
        <c:axPos val="l"/>
        <c:majorTickMark val="none"/>
        <c:minorTickMark val="none"/>
        <c:tickLblPos val="nextTo"/>
        <c:crossAx val="130751872"/>
        <c:crosses val="autoZero"/>
        <c:auto val="1"/>
        <c:lblAlgn val="ctr"/>
        <c:lblOffset val="100"/>
        <c:noMultiLvlLbl val="0"/>
      </c:catAx>
      <c:valAx>
        <c:axId val="130751872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HG丸ｺﾞｼｯｸM-PRO" panose="020F0600000000000000" pitchFamily="50" charset="-128"/>
                <a:ea typeface="HG丸ｺﾞｼｯｸM-PRO" panose="020F0600000000000000" pitchFamily="50" charset="-128"/>
              </a:defRPr>
            </a:pPr>
            <a:endParaRPr lang="ja-JP"/>
          </a:p>
        </c:txPr>
        <c:crossAx val="130750336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800">
              <a:latin typeface="HG丸ｺﾞｼｯｸM-PRO" panose="020F0600000000000000" pitchFamily="50" charset="-128"/>
              <a:ea typeface="HG丸ｺﾞｼｯｸM-PRO" panose="020F0600000000000000" pitchFamily="50" charset="-128"/>
            </a:defRPr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2014-07-31T05:01:00Z</cp:lastPrinted>
  <dcterms:created xsi:type="dcterms:W3CDTF">2014-07-31T02:24:00Z</dcterms:created>
  <dcterms:modified xsi:type="dcterms:W3CDTF">2014-08-05T00:22:00Z</dcterms:modified>
</cp:coreProperties>
</file>